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D1A0" w14:textId="4236883B" w:rsidR="000864F2" w:rsidRDefault="000864F2" w:rsidP="000864F2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03575DA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Dječji vrtić „KADUJICA“                                         BROJ RKP-a: </w:t>
      </w:r>
      <w:r w:rsidRPr="00E159E8">
        <w:rPr>
          <w:rFonts w:ascii="Times New Roman" w:hAnsi="Times New Roman" w:cs="Times New Roman"/>
          <w:sz w:val="24"/>
          <w:szCs w:val="24"/>
        </w:rPr>
        <w:t>52098</w:t>
      </w:r>
    </w:p>
    <w:p w14:paraId="49B1ADC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30.svibnja 12                                                                Matični broj: </w:t>
      </w:r>
      <w:r w:rsidRPr="00E159E8">
        <w:rPr>
          <w:rFonts w:ascii="Times New Roman" w:hAnsi="Times New Roman" w:cs="Times New Roman"/>
          <w:sz w:val="24"/>
          <w:szCs w:val="24"/>
        </w:rPr>
        <w:t>05351812</w:t>
      </w:r>
    </w:p>
    <w:p w14:paraId="4065B09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Okrug Gornji                                                               Razina : </w:t>
      </w:r>
      <w:r w:rsidRPr="00E159E8">
        <w:rPr>
          <w:rFonts w:ascii="Times New Roman" w:hAnsi="Times New Roman" w:cs="Times New Roman"/>
          <w:sz w:val="24"/>
          <w:szCs w:val="24"/>
        </w:rPr>
        <w:t>21</w:t>
      </w:r>
    </w:p>
    <w:p w14:paraId="1835961C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OIB:02527683076                                                        Razdjel: </w:t>
      </w:r>
      <w:r w:rsidRPr="00E159E8">
        <w:rPr>
          <w:rFonts w:ascii="Times New Roman" w:hAnsi="Times New Roman" w:cs="Times New Roman"/>
          <w:sz w:val="24"/>
          <w:szCs w:val="24"/>
        </w:rPr>
        <w:t>Nema razdjela</w:t>
      </w:r>
    </w:p>
    <w:p w14:paraId="5ACC7B8C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Šifra djelatnosti prema NKD-u</w:t>
      </w:r>
      <w:r w:rsidRPr="00E159E8">
        <w:rPr>
          <w:rFonts w:ascii="Times New Roman" w:hAnsi="Times New Roman" w:cs="Times New Roman"/>
          <w:sz w:val="24"/>
          <w:szCs w:val="24"/>
        </w:rPr>
        <w:t xml:space="preserve">: </w:t>
      </w:r>
      <w:r w:rsidRPr="00E159E8">
        <w:rPr>
          <w:rFonts w:ascii="Times New Roman" w:hAnsi="Times New Roman" w:cs="Times New Roman"/>
          <w:i/>
          <w:sz w:val="24"/>
          <w:szCs w:val="24"/>
        </w:rPr>
        <w:t xml:space="preserve">8510   </w:t>
      </w:r>
    </w:p>
    <w:p w14:paraId="71AC9FB8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E15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159E8">
        <w:rPr>
          <w:rFonts w:ascii="Times New Roman" w:hAnsi="Times New Roman" w:cs="Times New Roman"/>
          <w:sz w:val="24"/>
          <w:szCs w:val="24"/>
        </w:rPr>
        <w:t>Predškolsko obrazovanje</w:t>
      </w:r>
    </w:p>
    <w:p w14:paraId="1775D1EF" w14:textId="5F8369E7" w:rsid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41152423" w14:textId="63183159" w:rsidR="00E159E8" w:rsidRDefault="00E159E8" w:rsidP="000864F2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322A0CFB" w14:textId="77777777" w:rsidR="00E159E8" w:rsidRPr="00F22696" w:rsidRDefault="00E159E8" w:rsidP="000864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78DA4B" w14:textId="6FD3D7FC" w:rsidR="000864F2" w:rsidRPr="00F22696" w:rsidRDefault="004A0EF5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96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795B29C3" w14:textId="5D4F0396" w:rsidR="000864F2" w:rsidRPr="00F22696" w:rsidRDefault="0015393C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PRIJEDLOGA GODIŠNJEG IZVJEŠTAJA O IZVRŠENJU FINANCIJSKOG PLANA ZA 2022. GODINU</w:t>
      </w:r>
      <w:r w:rsidR="006F2DC5">
        <w:rPr>
          <w:rFonts w:ascii="Times New Roman" w:hAnsi="Times New Roman" w:cs="Times New Roman"/>
          <w:b/>
          <w:sz w:val="24"/>
          <w:szCs w:val="24"/>
        </w:rPr>
        <w:t xml:space="preserve"> – OPĆI DIO</w:t>
      </w:r>
    </w:p>
    <w:p w14:paraId="7C70E9A3" w14:textId="77777777" w:rsidR="00C55442" w:rsidRPr="00F22696" w:rsidRDefault="00C55442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D3F52" w14:textId="77777777" w:rsidR="005D74C2" w:rsidRPr="004A0EF5" w:rsidRDefault="005D74C2" w:rsidP="004A0EF5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5E18B9" w14:textId="2B9A624D" w:rsidR="00F320B8" w:rsidRPr="005D74C2" w:rsidRDefault="005D74C2" w:rsidP="00F320B8">
      <w:pPr>
        <w:rPr>
          <w:rFonts w:ascii="Times New Roman" w:hAnsi="Times New Roman"/>
          <w:b/>
          <w:bCs/>
          <w:sz w:val="24"/>
          <w:szCs w:val="24"/>
        </w:rPr>
      </w:pPr>
      <w:r w:rsidRPr="005D74C2">
        <w:rPr>
          <w:rFonts w:ascii="Times New Roman" w:hAnsi="Times New Roman"/>
          <w:b/>
          <w:bCs/>
          <w:sz w:val="24"/>
          <w:szCs w:val="24"/>
        </w:rPr>
        <w:t>ZAKONSKI OKVIR</w:t>
      </w:r>
    </w:p>
    <w:p w14:paraId="2EA0EA5C" w14:textId="585C2F35" w:rsidR="00106852" w:rsidRDefault="008161F8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skladu</w:t>
      </w:r>
      <w:r w:rsidR="00153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 odredbama</w:t>
      </w:r>
      <w:r w:rsidR="00E159E8">
        <w:rPr>
          <w:rFonts w:ascii="Times New Roman" w:hAnsi="Times New Roman"/>
          <w:sz w:val="24"/>
          <w:szCs w:val="24"/>
        </w:rPr>
        <w:t xml:space="preserve"> </w:t>
      </w:r>
      <w:r w:rsidR="005D74C2">
        <w:rPr>
          <w:rFonts w:ascii="Times New Roman" w:hAnsi="Times New Roman"/>
          <w:sz w:val="24"/>
          <w:szCs w:val="24"/>
        </w:rPr>
        <w:t>novo</w:t>
      </w:r>
      <w:r>
        <w:rPr>
          <w:rFonts w:ascii="Times New Roman" w:hAnsi="Times New Roman"/>
          <w:sz w:val="24"/>
          <w:szCs w:val="24"/>
        </w:rPr>
        <w:t>g</w:t>
      </w:r>
      <w:r w:rsidR="005D74C2">
        <w:rPr>
          <w:rFonts w:ascii="Times New Roman" w:hAnsi="Times New Roman"/>
          <w:sz w:val="24"/>
          <w:szCs w:val="24"/>
        </w:rPr>
        <w:t xml:space="preserve"> </w:t>
      </w:r>
      <w:r w:rsidR="00E159E8">
        <w:rPr>
          <w:rFonts w:ascii="Times New Roman" w:hAnsi="Times New Roman"/>
          <w:sz w:val="24"/>
          <w:szCs w:val="24"/>
        </w:rPr>
        <w:t xml:space="preserve"> Zakon</w:t>
      </w:r>
      <w:r w:rsidR="005D74C2">
        <w:rPr>
          <w:rFonts w:ascii="Times New Roman" w:hAnsi="Times New Roman"/>
          <w:sz w:val="24"/>
          <w:szCs w:val="24"/>
        </w:rPr>
        <w:t>u</w:t>
      </w:r>
      <w:r w:rsidR="00E159E8">
        <w:rPr>
          <w:rFonts w:ascii="Times New Roman" w:hAnsi="Times New Roman"/>
          <w:sz w:val="24"/>
          <w:szCs w:val="24"/>
        </w:rPr>
        <w:t xml:space="preserve"> o proračunu</w:t>
      </w:r>
      <w:r>
        <w:rPr>
          <w:rFonts w:ascii="Times New Roman" w:hAnsi="Times New Roman"/>
          <w:sz w:val="24"/>
          <w:szCs w:val="24"/>
        </w:rPr>
        <w:t xml:space="preserve"> koji je na snazi od 01.01.2022. godine</w:t>
      </w:r>
      <w:r w:rsidR="00934D8E">
        <w:rPr>
          <w:rFonts w:ascii="Times New Roman" w:hAnsi="Times New Roman"/>
          <w:sz w:val="24"/>
          <w:szCs w:val="24"/>
        </w:rPr>
        <w:t>,</w:t>
      </w:r>
      <w:r w:rsidR="00A428AA">
        <w:rPr>
          <w:rFonts w:ascii="Times New Roman" w:hAnsi="Times New Roman"/>
          <w:sz w:val="24"/>
          <w:szCs w:val="24"/>
        </w:rPr>
        <w:t xml:space="preserve"> </w:t>
      </w:r>
      <w:r w:rsidR="00934D8E">
        <w:rPr>
          <w:rFonts w:ascii="Times New Roman" w:hAnsi="Times New Roman"/>
          <w:sz w:val="24"/>
          <w:szCs w:val="24"/>
        </w:rPr>
        <w:t xml:space="preserve"> (N</w:t>
      </w:r>
      <w:r w:rsidR="005E6377">
        <w:rPr>
          <w:rFonts w:ascii="Times New Roman" w:hAnsi="Times New Roman"/>
          <w:sz w:val="24"/>
          <w:szCs w:val="24"/>
        </w:rPr>
        <w:t>ar.nov.</w:t>
      </w:r>
      <w:r w:rsidR="00A66E5F">
        <w:rPr>
          <w:rFonts w:ascii="Times New Roman" w:hAnsi="Times New Roman"/>
          <w:sz w:val="24"/>
          <w:szCs w:val="24"/>
        </w:rPr>
        <w:t>br.</w:t>
      </w:r>
      <w:r w:rsidR="00934D8E">
        <w:rPr>
          <w:rFonts w:ascii="Times New Roman" w:hAnsi="Times New Roman"/>
          <w:sz w:val="24"/>
          <w:szCs w:val="24"/>
        </w:rPr>
        <w:t xml:space="preserve"> 144/21</w:t>
      </w:r>
      <w:r w:rsidR="0015393C">
        <w:rPr>
          <w:rFonts w:ascii="Times New Roman" w:hAnsi="Times New Roman"/>
          <w:sz w:val="24"/>
          <w:szCs w:val="24"/>
        </w:rPr>
        <w:t>, čl.86</w:t>
      </w:r>
      <w:r w:rsidR="00934D8E">
        <w:rPr>
          <w:rFonts w:ascii="Times New Roman" w:hAnsi="Times New Roman"/>
          <w:sz w:val="24"/>
          <w:szCs w:val="24"/>
        </w:rPr>
        <w:t>)</w:t>
      </w:r>
      <w:r w:rsidR="005E6377">
        <w:rPr>
          <w:rFonts w:ascii="Times New Roman" w:hAnsi="Times New Roman"/>
          <w:sz w:val="24"/>
          <w:szCs w:val="24"/>
        </w:rPr>
        <w:t>,</w:t>
      </w:r>
      <w:r w:rsidR="0015393C">
        <w:rPr>
          <w:rFonts w:ascii="Times New Roman" w:hAnsi="Times New Roman"/>
          <w:sz w:val="24"/>
          <w:szCs w:val="24"/>
        </w:rPr>
        <w:t xml:space="preserve"> Statutom Dječjeg vrtića „KADUJICA“( čl.50, st.</w:t>
      </w:r>
      <w:r w:rsidR="00D83BE7">
        <w:rPr>
          <w:rFonts w:ascii="Times New Roman" w:hAnsi="Times New Roman"/>
          <w:sz w:val="24"/>
          <w:szCs w:val="24"/>
        </w:rPr>
        <w:t>1, točka 2</w:t>
      </w:r>
      <w:r w:rsidR="0015393C">
        <w:rPr>
          <w:rFonts w:ascii="Times New Roman" w:hAnsi="Times New Roman"/>
          <w:sz w:val="24"/>
          <w:szCs w:val="24"/>
        </w:rPr>
        <w:t>),</w:t>
      </w:r>
      <w:r w:rsidR="005E6377">
        <w:rPr>
          <w:rFonts w:ascii="Times New Roman" w:hAnsi="Times New Roman"/>
          <w:sz w:val="24"/>
          <w:szCs w:val="24"/>
        </w:rPr>
        <w:t xml:space="preserve"> važećeg </w:t>
      </w:r>
      <w:r w:rsidR="00A66E5F">
        <w:rPr>
          <w:rFonts w:ascii="Times New Roman" w:hAnsi="Times New Roman"/>
          <w:sz w:val="24"/>
          <w:szCs w:val="24"/>
        </w:rPr>
        <w:t>P</w:t>
      </w:r>
      <w:r w:rsidR="005E6377">
        <w:rPr>
          <w:rFonts w:ascii="Times New Roman" w:hAnsi="Times New Roman"/>
          <w:sz w:val="24"/>
          <w:szCs w:val="24"/>
        </w:rPr>
        <w:t>ravilnika o proračunskim klasifikacijama</w:t>
      </w:r>
      <w:r w:rsidR="00A66E5F">
        <w:rPr>
          <w:rFonts w:ascii="Times New Roman" w:hAnsi="Times New Roman"/>
          <w:sz w:val="24"/>
          <w:szCs w:val="24"/>
        </w:rPr>
        <w:t xml:space="preserve"> (Nar.nov.,br.26/10., 120/13., i 1/20.), Pravilnika</w:t>
      </w:r>
      <w:r w:rsidR="00D83BE7">
        <w:rPr>
          <w:rFonts w:ascii="Times New Roman" w:hAnsi="Times New Roman"/>
          <w:sz w:val="24"/>
          <w:szCs w:val="24"/>
        </w:rPr>
        <w:t xml:space="preserve"> </w:t>
      </w:r>
      <w:r w:rsidR="00A66E5F">
        <w:rPr>
          <w:rFonts w:ascii="Times New Roman" w:hAnsi="Times New Roman"/>
          <w:sz w:val="24"/>
          <w:szCs w:val="24"/>
        </w:rPr>
        <w:t>o proračunskom računovodstvu i Računskom planu (Nar.nov.,br.124/14.,115/15.,87/16., 3/18., 126/19 i 108/20.)</w:t>
      </w:r>
      <w:r w:rsidR="00E159E8">
        <w:rPr>
          <w:rFonts w:ascii="Times New Roman" w:hAnsi="Times New Roman"/>
          <w:sz w:val="24"/>
          <w:szCs w:val="24"/>
        </w:rPr>
        <w:t xml:space="preserve"> i u skladu s uputama Upravnog odjela za financije, gospodarstvo i komunalne djelatnosti Općine Okrug</w:t>
      </w:r>
      <w:r w:rsidR="00BF7554">
        <w:rPr>
          <w:rFonts w:ascii="Times New Roman" w:hAnsi="Times New Roman"/>
          <w:sz w:val="24"/>
          <w:szCs w:val="24"/>
        </w:rPr>
        <w:t>,</w:t>
      </w:r>
      <w:r w:rsidR="00E159E8">
        <w:rPr>
          <w:rFonts w:ascii="Times New Roman" w:hAnsi="Times New Roman"/>
          <w:sz w:val="24"/>
          <w:szCs w:val="24"/>
        </w:rPr>
        <w:t xml:space="preserve">  proračunski korisnik</w:t>
      </w:r>
      <w:r w:rsidR="005B21D4">
        <w:rPr>
          <w:rFonts w:ascii="Times New Roman" w:hAnsi="Times New Roman"/>
          <w:sz w:val="24"/>
          <w:szCs w:val="24"/>
        </w:rPr>
        <w:t>,</w:t>
      </w:r>
      <w:r w:rsidR="00B43248" w:rsidRPr="00EA3F06">
        <w:rPr>
          <w:rFonts w:ascii="Times New Roman" w:hAnsi="Times New Roman"/>
          <w:sz w:val="24"/>
          <w:szCs w:val="24"/>
        </w:rPr>
        <w:t xml:space="preserve"> Dječj</w:t>
      </w:r>
      <w:r w:rsidR="00BF7554">
        <w:rPr>
          <w:rFonts w:ascii="Times New Roman" w:hAnsi="Times New Roman"/>
          <w:sz w:val="24"/>
          <w:szCs w:val="24"/>
        </w:rPr>
        <w:t>i</w:t>
      </w:r>
      <w:r w:rsidR="00B43248" w:rsidRPr="00EA3F06">
        <w:rPr>
          <w:rFonts w:ascii="Times New Roman" w:hAnsi="Times New Roman"/>
          <w:sz w:val="24"/>
          <w:szCs w:val="24"/>
        </w:rPr>
        <w:t xml:space="preserve"> vrtića</w:t>
      </w:r>
      <w:r w:rsidR="00EA3F06">
        <w:rPr>
          <w:rFonts w:ascii="Times New Roman" w:hAnsi="Times New Roman"/>
          <w:sz w:val="24"/>
          <w:szCs w:val="24"/>
        </w:rPr>
        <w:t xml:space="preserve"> “</w:t>
      </w:r>
      <w:r w:rsidR="00B43248" w:rsidRPr="00EA3F06">
        <w:rPr>
          <w:rFonts w:ascii="Times New Roman" w:hAnsi="Times New Roman"/>
          <w:sz w:val="24"/>
          <w:szCs w:val="24"/>
        </w:rPr>
        <w:t xml:space="preserve"> KADUJICA</w:t>
      </w:r>
      <w:r w:rsidR="00EA3F06">
        <w:rPr>
          <w:rFonts w:ascii="Times New Roman" w:hAnsi="Times New Roman"/>
          <w:sz w:val="24"/>
          <w:szCs w:val="24"/>
        </w:rPr>
        <w:t>“</w:t>
      </w:r>
      <w:r w:rsidR="00BF7554">
        <w:rPr>
          <w:rFonts w:ascii="Times New Roman" w:hAnsi="Times New Roman"/>
          <w:sz w:val="24"/>
          <w:szCs w:val="24"/>
        </w:rPr>
        <w:t>,</w:t>
      </w:r>
      <w:r w:rsidR="00EA3F06">
        <w:rPr>
          <w:rFonts w:ascii="Times New Roman" w:hAnsi="Times New Roman"/>
          <w:sz w:val="24"/>
          <w:szCs w:val="24"/>
        </w:rPr>
        <w:t xml:space="preserve"> </w:t>
      </w:r>
      <w:r w:rsidR="00B43248" w:rsidRPr="00EA3F06">
        <w:rPr>
          <w:rFonts w:ascii="Times New Roman" w:hAnsi="Times New Roman"/>
          <w:sz w:val="24"/>
          <w:szCs w:val="24"/>
        </w:rPr>
        <w:t xml:space="preserve"> </w:t>
      </w:r>
      <w:r w:rsidR="00D97A74">
        <w:rPr>
          <w:rFonts w:ascii="Times New Roman" w:hAnsi="Times New Roman"/>
          <w:sz w:val="24"/>
          <w:szCs w:val="24"/>
        </w:rPr>
        <w:t>ima obvezu izraditi i dostaviti</w:t>
      </w:r>
      <w:r w:rsidR="0015393C">
        <w:rPr>
          <w:rFonts w:ascii="Times New Roman" w:hAnsi="Times New Roman"/>
          <w:sz w:val="24"/>
          <w:szCs w:val="24"/>
        </w:rPr>
        <w:t xml:space="preserve"> Upravljačkom tijelu</w:t>
      </w:r>
      <w:r w:rsidR="005B21D4">
        <w:rPr>
          <w:rFonts w:ascii="Times New Roman" w:hAnsi="Times New Roman"/>
          <w:sz w:val="24"/>
          <w:szCs w:val="24"/>
        </w:rPr>
        <w:t>,</w:t>
      </w:r>
      <w:r w:rsidR="0015393C">
        <w:rPr>
          <w:rFonts w:ascii="Times New Roman" w:hAnsi="Times New Roman"/>
          <w:sz w:val="24"/>
          <w:szCs w:val="24"/>
        </w:rPr>
        <w:t xml:space="preserve"> Prijedlog godišnjeg izvještaja o izvršenju financijskog plana </w:t>
      </w:r>
      <w:r w:rsidR="005D74C2">
        <w:rPr>
          <w:rFonts w:ascii="Times New Roman" w:hAnsi="Times New Roman"/>
          <w:sz w:val="24"/>
          <w:szCs w:val="24"/>
        </w:rPr>
        <w:t xml:space="preserve"> za 202</w:t>
      </w:r>
      <w:r w:rsidR="0015393C">
        <w:rPr>
          <w:rFonts w:ascii="Times New Roman" w:hAnsi="Times New Roman"/>
          <w:sz w:val="24"/>
          <w:szCs w:val="24"/>
        </w:rPr>
        <w:t>2</w:t>
      </w:r>
      <w:r w:rsidR="005D74C2">
        <w:rPr>
          <w:rFonts w:ascii="Times New Roman" w:hAnsi="Times New Roman"/>
          <w:sz w:val="24"/>
          <w:szCs w:val="24"/>
        </w:rPr>
        <w:t>.</w:t>
      </w:r>
      <w:r w:rsidR="00045DE0">
        <w:rPr>
          <w:rFonts w:ascii="Times New Roman" w:hAnsi="Times New Roman"/>
          <w:sz w:val="24"/>
          <w:szCs w:val="24"/>
        </w:rPr>
        <w:t xml:space="preserve"> </w:t>
      </w:r>
      <w:r w:rsidR="005D74C2">
        <w:rPr>
          <w:rFonts w:ascii="Times New Roman" w:hAnsi="Times New Roman"/>
          <w:sz w:val="24"/>
          <w:szCs w:val="24"/>
        </w:rPr>
        <w:t>godinu</w:t>
      </w:r>
      <w:r w:rsidR="0015393C">
        <w:rPr>
          <w:rFonts w:ascii="Times New Roman" w:hAnsi="Times New Roman"/>
          <w:sz w:val="24"/>
          <w:szCs w:val="24"/>
        </w:rPr>
        <w:t>.</w:t>
      </w:r>
      <w:r w:rsidR="00106852">
        <w:rPr>
          <w:rFonts w:ascii="Times New Roman" w:hAnsi="Times New Roman"/>
          <w:sz w:val="24"/>
          <w:szCs w:val="24"/>
        </w:rPr>
        <w:t xml:space="preserve"> </w:t>
      </w:r>
    </w:p>
    <w:p w14:paraId="4C85877B" w14:textId="77777777" w:rsidR="005F4AB9" w:rsidRPr="00EA3F06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 xml:space="preserve">DJELATNOST VRTIĆA </w:t>
      </w:r>
    </w:p>
    <w:p w14:paraId="39AB4AD5" w14:textId="6F8A1F6E" w:rsidR="00B43248" w:rsidRPr="00EA3F06" w:rsidRDefault="00B43248" w:rsidP="00EA3F06">
      <w:pPr>
        <w:jc w:val="both"/>
        <w:rPr>
          <w:rFonts w:ascii="Times New Roman" w:hAnsi="Times New Roman"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>Dječji vrtić „KADUJICA“ je javna ustanova za</w:t>
      </w:r>
      <w:r w:rsidR="009C41D8" w:rsidRPr="00EA3F06">
        <w:rPr>
          <w:rFonts w:ascii="Times New Roman" w:hAnsi="Times New Roman"/>
          <w:sz w:val="24"/>
          <w:szCs w:val="24"/>
        </w:rPr>
        <w:t xml:space="preserve"> predškolski odgoj i </w:t>
      </w:r>
      <w:r w:rsidR="00D83BE7">
        <w:rPr>
          <w:rFonts w:ascii="Times New Roman" w:hAnsi="Times New Roman"/>
          <w:sz w:val="24"/>
          <w:szCs w:val="24"/>
        </w:rPr>
        <w:t>obrazovanje</w:t>
      </w:r>
      <w:r w:rsidR="009C41D8" w:rsidRPr="00EA3F06">
        <w:rPr>
          <w:rFonts w:ascii="Times New Roman" w:hAnsi="Times New Roman"/>
          <w:sz w:val="24"/>
          <w:szCs w:val="24"/>
        </w:rPr>
        <w:t xml:space="preserve"> </w:t>
      </w:r>
      <w:r w:rsidRPr="00EA3F06">
        <w:rPr>
          <w:rFonts w:ascii="Times New Roman" w:hAnsi="Times New Roman"/>
          <w:sz w:val="24"/>
          <w:szCs w:val="24"/>
        </w:rPr>
        <w:t>te skrb o djeci predškolske dobi.</w:t>
      </w:r>
      <w:r w:rsidR="00315BB0">
        <w:rPr>
          <w:rFonts w:ascii="Times New Roman" w:hAnsi="Times New Roman"/>
          <w:sz w:val="24"/>
          <w:szCs w:val="24"/>
        </w:rPr>
        <w:t xml:space="preserve"> </w:t>
      </w:r>
      <w:r w:rsidR="005B21D4">
        <w:rPr>
          <w:rFonts w:ascii="Times New Roman" w:hAnsi="Times New Roman"/>
          <w:sz w:val="24"/>
          <w:szCs w:val="24"/>
        </w:rPr>
        <w:t>R</w:t>
      </w:r>
      <w:r w:rsidR="001A6A0D">
        <w:rPr>
          <w:rFonts w:ascii="Times New Roman" w:hAnsi="Times New Roman"/>
          <w:sz w:val="24"/>
          <w:szCs w:val="24"/>
        </w:rPr>
        <w:t xml:space="preserve">ad je organiziran u  četiri  </w:t>
      </w:r>
      <w:r w:rsidR="00EA3F06">
        <w:rPr>
          <w:rFonts w:ascii="Times New Roman" w:hAnsi="Times New Roman"/>
          <w:sz w:val="24"/>
          <w:szCs w:val="24"/>
        </w:rPr>
        <w:t>odgojne skupine</w:t>
      </w:r>
      <w:r w:rsidR="001A6A0D">
        <w:rPr>
          <w:rFonts w:ascii="Times New Roman" w:hAnsi="Times New Roman"/>
          <w:sz w:val="24"/>
          <w:szCs w:val="24"/>
        </w:rPr>
        <w:t xml:space="preserve"> ( jaslička skupina, 6-satna vrtićka skupina, </w:t>
      </w:r>
      <w:r w:rsidR="00F9145B">
        <w:rPr>
          <w:rFonts w:ascii="Times New Roman" w:hAnsi="Times New Roman"/>
          <w:sz w:val="24"/>
          <w:szCs w:val="24"/>
        </w:rPr>
        <w:t xml:space="preserve">dvije </w:t>
      </w:r>
      <w:r w:rsidR="001A6A0D">
        <w:rPr>
          <w:rFonts w:ascii="Times New Roman" w:hAnsi="Times New Roman"/>
          <w:sz w:val="24"/>
          <w:szCs w:val="24"/>
        </w:rPr>
        <w:t>10</w:t>
      </w:r>
      <w:r w:rsidR="00D83BE7">
        <w:rPr>
          <w:rFonts w:ascii="Times New Roman" w:hAnsi="Times New Roman"/>
          <w:sz w:val="24"/>
          <w:szCs w:val="24"/>
        </w:rPr>
        <w:t xml:space="preserve"> </w:t>
      </w:r>
      <w:r w:rsidR="001A6A0D">
        <w:rPr>
          <w:rFonts w:ascii="Times New Roman" w:hAnsi="Times New Roman"/>
          <w:sz w:val="24"/>
          <w:szCs w:val="24"/>
        </w:rPr>
        <w:t>-</w:t>
      </w:r>
      <w:r w:rsidR="00D83BE7">
        <w:rPr>
          <w:rFonts w:ascii="Times New Roman" w:hAnsi="Times New Roman"/>
          <w:sz w:val="24"/>
          <w:szCs w:val="24"/>
        </w:rPr>
        <w:t xml:space="preserve"> </w:t>
      </w:r>
      <w:r w:rsidR="001A6A0D">
        <w:rPr>
          <w:rFonts w:ascii="Times New Roman" w:hAnsi="Times New Roman"/>
          <w:sz w:val="24"/>
          <w:szCs w:val="24"/>
        </w:rPr>
        <w:t>satn</w:t>
      </w:r>
      <w:r w:rsidR="00F9145B">
        <w:rPr>
          <w:rFonts w:ascii="Times New Roman" w:hAnsi="Times New Roman"/>
          <w:sz w:val="24"/>
          <w:szCs w:val="24"/>
        </w:rPr>
        <w:t xml:space="preserve">e </w:t>
      </w:r>
      <w:r w:rsidR="001A6A0D">
        <w:rPr>
          <w:rFonts w:ascii="Times New Roman" w:hAnsi="Times New Roman"/>
          <w:sz w:val="24"/>
          <w:szCs w:val="24"/>
        </w:rPr>
        <w:t>vrtićk</w:t>
      </w:r>
      <w:r w:rsidR="00F9145B">
        <w:rPr>
          <w:rFonts w:ascii="Times New Roman" w:hAnsi="Times New Roman"/>
          <w:sz w:val="24"/>
          <w:szCs w:val="24"/>
        </w:rPr>
        <w:t>e</w:t>
      </w:r>
      <w:r w:rsidR="001A6A0D">
        <w:rPr>
          <w:rFonts w:ascii="Times New Roman" w:hAnsi="Times New Roman"/>
          <w:sz w:val="24"/>
          <w:szCs w:val="24"/>
        </w:rPr>
        <w:t xml:space="preserve"> skupin</w:t>
      </w:r>
      <w:r w:rsidR="00F9145B">
        <w:rPr>
          <w:rFonts w:ascii="Times New Roman" w:hAnsi="Times New Roman"/>
          <w:sz w:val="24"/>
          <w:szCs w:val="24"/>
        </w:rPr>
        <w:t>e</w:t>
      </w:r>
      <w:r w:rsidR="001A6A0D">
        <w:rPr>
          <w:rFonts w:ascii="Times New Roman" w:hAnsi="Times New Roman"/>
          <w:sz w:val="24"/>
          <w:szCs w:val="24"/>
        </w:rPr>
        <w:t xml:space="preserve">) </w:t>
      </w:r>
      <w:r w:rsidR="00EA3F06">
        <w:rPr>
          <w:rFonts w:ascii="Times New Roman" w:hAnsi="Times New Roman"/>
          <w:sz w:val="24"/>
          <w:szCs w:val="24"/>
        </w:rPr>
        <w:t>s</w:t>
      </w:r>
      <w:r w:rsidR="001A6A0D">
        <w:rPr>
          <w:rFonts w:ascii="Times New Roman" w:hAnsi="Times New Roman"/>
          <w:sz w:val="24"/>
          <w:szCs w:val="24"/>
        </w:rPr>
        <w:t xml:space="preserve"> ukupno </w:t>
      </w:r>
      <w:r w:rsidR="00EA3F06">
        <w:rPr>
          <w:rFonts w:ascii="Times New Roman" w:hAnsi="Times New Roman"/>
          <w:sz w:val="24"/>
          <w:szCs w:val="24"/>
        </w:rPr>
        <w:t>8</w:t>
      </w:r>
      <w:r w:rsidR="00D83BE7">
        <w:rPr>
          <w:rFonts w:ascii="Times New Roman" w:hAnsi="Times New Roman"/>
          <w:sz w:val="24"/>
          <w:szCs w:val="24"/>
        </w:rPr>
        <w:t>3</w:t>
      </w:r>
      <w:r w:rsidR="00EA3F06">
        <w:rPr>
          <w:rFonts w:ascii="Times New Roman" w:hAnsi="Times New Roman"/>
          <w:sz w:val="24"/>
          <w:szCs w:val="24"/>
        </w:rPr>
        <w:t xml:space="preserve"> djece, sukladno Planu i programu rada Vrtića </w:t>
      </w:r>
      <w:r w:rsidR="00D83BE7">
        <w:rPr>
          <w:rFonts w:ascii="Times New Roman" w:hAnsi="Times New Roman"/>
          <w:sz w:val="24"/>
          <w:szCs w:val="24"/>
        </w:rPr>
        <w:t>.</w:t>
      </w:r>
    </w:p>
    <w:p w14:paraId="7B629C5A" w14:textId="341724EA" w:rsidR="00B43248" w:rsidRDefault="009C41D8" w:rsidP="00EA3F06">
      <w:pPr>
        <w:jc w:val="both"/>
        <w:rPr>
          <w:rFonts w:ascii="Times New Roman" w:hAnsi="Times New Roman"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 xml:space="preserve">Program rada Dječjeg vrtića </w:t>
      </w:r>
      <w:r w:rsidR="00B43248" w:rsidRPr="00EA3F06">
        <w:rPr>
          <w:rFonts w:ascii="Times New Roman" w:hAnsi="Times New Roman"/>
          <w:sz w:val="24"/>
          <w:szCs w:val="24"/>
        </w:rPr>
        <w:t>„K</w:t>
      </w:r>
      <w:r w:rsidR="009B10A7">
        <w:rPr>
          <w:rFonts w:ascii="Times New Roman" w:hAnsi="Times New Roman"/>
          <w:sz w:val="24"/>
          <w:szCs w:val="24"/>
        </w:rPr>
        <w:t>ADUJICA</w:t>
      </w:r>
      <w:r w:rsidR="00B43248" w:rsidRPr="00EA3F06">
        <w:rPr>
          <w:rFonts w:ascii="Times New Roman" w:hAnsi="Times New Roman"/>
          <w:sz w:val="24"/>
          <w:szCs w:val="24"/>
        </w:rPr>
        <w:t>“ se temelji na Zakonu o predškolskom odgoju i obrazovanju (NN br. 10/97, 107/07, 94/13</w:t>
      </w:r>
      <w:r w:rsidR="00934D8E">
        <w:rPr>
          <w:rFonts w:ascii="Times New Roman" w:hAnsi="Times New Roman"/>
          <w:sz w:val="24"/>
          <w:szCs w:val="24"/>
        </w:rPr>
        <w:t>,</w:t>
      </w:r>
      <w:r w:rsidR="00B43248" w:rsidRPr="00EA3F06">
        <w:rPr>
          <w:rFonts w:ascii="Times New Roman" w:hAnsi="Times New Roman"/>
          <w:sz w:val="24"/>
          <w:szCs w:val="24"/>
        </w:rPr>
        <w:t xml:space="preserve"> 98/19</w:t>
      </w:r>
      <w:r w:rsidR="00934D8E">
        <w:rPr>
          <w:rFonts w:ascii="Times New Roman" w:hAnsi="Times New Roman"/>
          <w:sz w:val="24"/>
          <w:szCs w:val="24"/>
        </w:rPr>
        <w:t>, 57/22)</w:t>
      </w:r>
      <w:r w:rsidR="00B43248" w:rsidRPr="00EA3F06">
        <w:rPr>
          <w:rFonts w:ascii="Times New Roman" w:hAnsi="Times New Roman"/>
          <w:sz w:val="24"/>
          <w:szCs w:val="24"/>
        </w:rPr>
        <w:t xml:space="preserve"> i Državnom pedagoškom standardu predškolskog odgoja i ob</w:t>
      </w:r>
      <w:r w:rsidRPr="00EA3F06">
        <w:rPr>
          <w:rFonts w:ascii="Times New Roman" w:hAnsi="Times New Roman"/>
          <w:sz w:val="24"/>
          <w:szCs w:val="24"/>
        </w:rPr>
        <w:t>r</w:t>
      </w:r>
      <w:r w:rsidR="00EA3F06">
        <w:rPr>
          <w:rFonts w:ascii="Times New Roman" w:hAnsi="Times New Roman"/>
          <w:sz w:val="24"/>
          <w:szCs w:val="24"/>
        </w:rPr>
        <w:t xml:space="preserve">azovanja (NN br. 63/8 i 90/10) te </w:t>
      </w:r>
      <w:r w:rsidRPr="00EA3F06">
        <w:rPr>
          <w:rFonts w:ascii="Times New Roman" w:hAnsi="Times New Roman"/>
          <w:sz w:val="24"/>
          <w:szCs w:val="24"/>
        </w:rPr>
        <w:t xml:space="preserve">svim </w:t>
      </w:r>
      <w:r w:rsidR="00EA3F06">
        <w:rPr>
          <w:rFonts w:ascii="Times New Roman" w:hAnsi="Times New Roman"/>
          <w:sz w:val="24"/>
          <w:szCs w:val="24"/>
        </w:rPr>
        <w:t xml:space="preserve">općim aktima Vrtića i Osnivača Općine Okrug. </w:t>
      </w:r>
    </w:p>
    <w:p w14:paraId="111513C5" w14:textId="77777777" w:rsidR="00EA3F06" w:rsidRPr="00EA3F06" w:rsidRDefault="00EA3F06" w:rsidP="00EA3F06">
      <w:pPr>
        <w:jc w:val="both"/>
        <w:rPr>
          <w:rFonts w:ascii="Times New Roman" w:hAnsi="Times New Roman"/>
          <w:sz w:val="24"/>
          <w:szCs w:val="24"/>
        </w:rPr>
      </w:pPr>
    </w:p>
    <w:p w14:paraId="70A435C5" w14:textId="3081CDA1" w:rsidR="009C41D8" w:rsidRPr="00EA3F06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 xml:space="preserve">PRIHODI </w:t>
      </w:r>
      <w:r w:rsidR="00D97A74">
        <w:rPr>
          <w:rFonts w:ascii="Times New Roman" w:hAnsi="Times New Roman"/>
          <w:b/>
          <w:sz w:val="24"/>
          <w:szCs w:val="24"/>
        </w:rPr>
        <w:t>I PRIMICI</w:t>
      </w:r>
    </w:p>
    <w:p w14:paraId="7EA5AB76" w14:textId="37EF12C8" w:rsidR="009D762E" w:rsidRDefault="0002264E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Ukupni p</w:t>
      </w:r>
      <w:r w:rsidR="005971C0">
        <w:rPr>
          <w:rFonts w:ascii="Times New Roman" w:hAnsi="Times New Roman"/>
          <w:sz w:val="24"/>
          <w:szCs w:val="24"/>
        </w:rPr>
        <w:t>rihodi</w:t>
      </w:r>
      <w:r w:rsidR="006F2DC5">
        <w:rPr>
          <w:rFonts w:ascii="Times New Roman" w:hAnsi="Times New Roman"/>
          <w:sz w:val="24"/>
          <w:szCs w:val="24"/>
        </w:rPr>
        <w:t xml:space="preserve"> i</w:t>
      </w:r>
      <w:r w:rsidR="005971C0">
        <w:rPr>
          <w:rFonts w:ascii="Times New Roman" w:hAnsi="Times New Roman"/>
          <w:sz w:val="24"/>
          <w:szCs w:val="24"/>
        </w:rPr>
        <w:t xml:space="preserve"> primici su najvećim dijelom ostvareni od Osnivača, Općine Okrug. Ukupni prihodi u odnosu na prethodnu 2021. godinu su povećani </w:t>
      </w:r>
      <w:r w:rsidR="006F2DC5">
        <w:rPr>
          <w:rFonts w:ascii="Times New Roman" w:hAnsi="Times New Roman"/>
          <w:sz w:val="24"/>
          <w:szCs w:val="24"/>
        </w:rPr>
        <w:t>za 27,4 %</w:t>
      </w:r>
      <w:r>
        <w:rPr>
          <w:rFonts w:ascii="Times New Roman" w:hAnsi="Times New Roman"/>
          <w:sz w:val="24"/>
          <w:szCs w:val="24"/>
        </w:rPr>
        <w:t xml:space="preserve"> (674.304,81</w:t>
      </w:r>
      <w:r w:rsidR="003B420A">
        <w:rPr>
          <w:rFonts w:ascii="Times New Roman" w:hAnsi="Times New Roman"/>
          <w:sz w:val="24"/>
          <w:szCs w:val="24"/>
        </w:rPr>
        <w:t xml:space="preserve"> kn </w:t>
      </w:r>
      <w:r>
        <w:rPr>
          <w:rFonts w:ascii="Times New Roman" w:hAnsi="Times New Roman"/>
          <w:sz w:val="24"/>
          <w:szCs w:val="24"/>
        </w:rPr>
        <w:t xml:space="preserve">) , a u odnosu na planirana sredstva </w:t>
      </w:r>
      <w:r w:rsidR="00BA4F9F">
        <w:rPr>
          <w:rFonts w:ascii="Times New Roman" w:hAnsi="Times New Roman"/>
          <w:sz w:val="24"/>
          <w:szCs w:val="24"/>
        </w:rPr>
        <w:t xml:space="preserve">za 2022. godinu </w:t>
      </w:r>
      <w:r>
        <w:rPr>
          <w:rFonts w:ascii="Times New Roman" w:hAnsi="Times New Roman"/>
          <w:sz w:val="24"/>
          <w:szCs w:val="24"/>
        </w:rPr>
        <w:t>su manji za 9%</w:t>
      </w:r>
      <w:r w:rsidR="00315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(317.569,02</w:t>
      </w:r>
      <w:r w:rsidR="003B420A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>).</w:t>
      </w:r>
    </w:p>
    <w:p w14:paraId="7173A1FF" w14:textId="402312F9" w:rsidR="0002264E" w:rsidRDefault="0002264E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prihoda iz nadležnog proračuna Općine Okrug u odnosu na prethodnu godinu  iznosi 26,34 %, a u odnosu na plan </w:t>
      </w:r>
      <w:r w:rsidR="00BA4F9F">
        <w:rPr>
          <w:rFonts w:ascii="Times New Roman" w:hAnsi="Times New Roman"/>
          <w:sz w:val="24"/>
          <w:szCs w:val="24"/>
        </w:rPr>
        <w:t xml:space="preserve">prihodi od Osnivača </w:t>
      </w:r>
      <w:r>
        <w:rPr>
          <w:rFonts w:ascii="Times New Roman" w:hAnsi="Times New Roman"/>
          <w:sz w:val="24"/>
          <w:szCs w:val="24"/>
        </w:rPr>
        <w:t>su manja za 9,5 %.</w:t>
      </w:r>
    </w:p>
    <w:p w14:paraId="29D56201" w14:textId="135C130C" w:rsidR="005F650C" w:rsidRDefault="0002264E" w:rsidP="00BA4F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Vlastiti prihodi koje Vrtić ostvaruje prema Pravilniku o upisima su manjim dijelom zastupljeni u ukupnim prihodima </w:t>
      </w:r>
      <w:r w:rsidR="00BA4F9F">
        <w:rPr>
          <w:rFonts w:ascii="Times New Roman" w:hAnsi="Times New Roman"/>
          <w:sz w:val="24"/>
          <w:szCs w:val="24"/>
        </w:rPr>
        <w:t xml:space="preserve">(0,1%) ,ali je primjetno njihovo povećanje u 2022. godini i </w:t>
      </w:r>
      <w:r w:rsidR="00BA4F9F">
        <w:rPr>
          <w:rFonts w:ascii="Times New Roman" w:hAnsi="Times New Roman"/>
          <w:sz w:val="24"/>
          <w:szCs w:val="24"/>
        </w:rPr>
        <w:lastRenderedPageBreak/>
        <w:t xml:space="preserve">to za </w:t>
      </w:r>
      <w:r w:rsidR="00315BB0">
        <w:rPr>
          <w:rFonts w:ascii="Times New Roman" w:hAnsi="Times New Roman"/>
          <w:sz w:val="24"/>
          <w:szCs w:val="24"/>
        </w:rPr>
        <w:t>3</w:t>
      </w:r>
      <w:r w:rsidR="00BA4F9F">
        <w:rPr>
          <w:rFonts w:ascii="Times New Roman" w:hAnsi="Times New Roman"/>
          <w:sz w:val="24"/>
          <w:szCs w:val="24"/>
        </w:rPr>
        <w:t>61,64 %. Razlog tome je uredno plaćanje roditelja i naplata dugovanja Grada Zagreba iz prethodne godine. Vlastiti prihodi su povećani i u odnosu na planirane za 56% .</w:t>
      </w:r>
    </w:p>
    <w:p w14:paraId="3A47ECAF" w14:textId="5DA9BE2D" w:rsidR="00BA4F9F" w:rsidRDefault="00BA4F9F" w:rsidP="00BA4F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pomoći nadležnog </w:t>
      </w:r>
      <w:r w:rsidR="00315BB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inist</w:t>
      </w:r>
      <w:r w:rsidR="00D83BE7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stva znanosti i obrazovanja su minimalnim dijelom zastupljeni u ukupnim prihodima (0,0</w:t>
      </w:r>
      <w:r w:rsidR="00315BB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%)</w:t>
      </w:r>
      <w:r w:rsidR="00315BB0">
        <w:rPr>
          <w:rFonts w:ascii="Times New Roman" w:hAnsi="Times New Roman"/>
          <w:sz w:val="24"/>
          <w:szCs w:val="24"/>
        </w:rPr>
        <w:t>, ali ih vrtić u 2022. godini po prvi put realizira za djecu s poteškoćama</w:t>
      </w:r>
    </w:p>
    <w:p w14:paraId="6BEE4E9D" w14:textId="2F1AFAE8" w:rsidR="009C41D8" w:rsidRPr="00EA3F06" w:rsidRDefault="007B09DB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15BB0">
        <w:rPr>
          <w:rFonts w:ascii="Times New Roman" w:hAnsi="Times New Roman"/>
          <w:sz w:val="24"/>
          <w:szCs w:val="24"/>
        </w:rPr>
        <w:t xml:space="preserve">ovećanje ukupnih prihoda u 2022. godini u odnosu na 2021. godinu </w:t>
      </w:r>
      <w:r>
        <w:rPr>
          <w:rFonts w:ascii="Times New Roman" w:hAnsi="Times New Roman"/>
          <w:sz w:val="24"/>
          <w:szCs w:val="24"/>
        </w:rPr>
        <w:t xml:space="preserve">je rezultat povećanog potraživanja sredstava dječjeg vrtića „KADUJICA“ u cilju nesmetanog rada vrtića. </w:t>
      </w:r>
    </w:p>
    <w:p w14:paraId="304ADDD7" w14:textId="4486C16D" w:rsidR="00F320B8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>RASHODI</w:t>
      </w:r>
      <w:r w:rsidR="004A4367">
        <w:rPr>
          <w:rFonts w:ascii="Times New Roman" w:hAnsi="Times New Roman"/>
          <w:b/>
          <w:sz w:val="24"/>
          <w:szCs w:val="24"/>
        </w:rPr>
        <w:t xml:space="preserve"> I IZDACI</w:t>
      </w:r>
    </w:p>
    <w:p w14:paraId="5EA8E7CB" w14:textId="54B1197E" w:rsidR="00217B3F" w:rsidRPr="004A4367" w:rsidRDefault="007B09DB" w:rsidP="00F320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Ukupni rashodi Dječjeg vrtića „KADUJICA“ </w:t>
      </w:r>
      <w:r w:rsidR="003B420A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odnosu na 2021. godinu </w:t>
      </w:r>
      <w:r w:rsidR="003B420A">
        <w:rPr>
          <w:rFonts w:ascii="Times New Roman" w:hAnsi="Times New Roman"/>
          <w:bCs/>
          <w:sz w:val="24"/>
          <w:szCs w:val="24"/>
        </w:rPr>
        <w:t xml:space="preserve">su </w:t>
      </w:r>
      <w:r>
        <w:rPr>
          <w:rFonts w:ascii="Times New Roman" w:hAnsi="Times New Roman"/>
          <w:bCs/>
          <w:sz w:val="24"/>
          <w:szCs w:val="24"/>
        </w:rPr>
        <w:t>veći za 27% (</w:t>
      </w:r>
      <w:r w:rsidR="00F63E60">
        <w:rPr>
          <w:rFonts w:ascii="Times New Roman" w:hAnsi="Times New Roman"/>
          <w:bCs/>
          <w:sz w:val="24"/>
          <w:szCs w:val="24"/>
        </w:rPr>
        <w:t>652.942,92</w:t>
      </w:r>
      <w:r w:rsidR="003B420A">
        <w:rPr>
          <w:rFonts w:ascii="Times New Roman" w:hAnsi="Times New Roman"/>
          <w:bCs/>
          <w:sz w:val="24"/>
          <w:szCs w:val="24"/>
        </w:rPr>
        <w:t xml:space="preserve"> kn </w:t>
      </w:r>
      <w:r w:rsidR="00F63E60">
        <w:rPr>
          <w:rFonts w:ascii="Times New Roman" w:hAnsi="Times New Roman"/>
          <w:bCs/>
          <w:sz w:val="24"/>
          <w:szCs w:val="24"/>
        </w:rPr>
        <w:t>)</w:t>
      </w:r>
      <w:r w:rsidR="00D1710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 u odnosu na plan su manji za 10%</w:t>
      </w:r>
      <w:r w:rsidR="00F63E60">
        <w:rPr>
          <w:rFonts w:ascii="Times New Roman" w:hAnsi="Times New Roman"/>
          <w:bCs/>
          <w:sz w:val="24"/>
          <w:szCs w:val="24"/>
        </w:rPr>
        <w:t xml:space="preserve"> (338.215,44</w:t>
      </w:r>
      <w:r w:rsidR="003B420A">
        <w:rPr>
          <w:rFonts w:ascii="Times New Roman" w:hAnsi="Times New Roman"/>
          <w:bCs/>
          <w:sz w:val="24"/>
          <w:szCs w:val="24"/>
        </w:rPr>
        <w:t xml:space="preserve"> kn</w:t>
      </w:r>
      <w:r w:rsidR="00F63E60">
        <w:rPr>
          <w:rFonts w:ascii="Times New Roman" w:hAnsi="Times New Roman"/>
          <w:bCs/>
          <w:sz w:val="24"/>
          <w:szCs w:val="24"/>
        </w:rPr>
        <w:t>).</w:t>
      </w:r>
    </w:p>
    <w:p w14:paraId="15E99D25" w14:textId="29FEF4F8" w:rsidR="004444AB" w:rsidRDefault="004444AB" w:rsidP="00444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1B7BA5">
        <w:rPr>
          <w:rFonts w:ascii="Times New Roman" w:hAnsi="Times New Roman"/>
          <w:b/>
          <w:sz w:val="24"/>
          <w:szCs w:val="24"/>
        </w:rPr>
        <w:t>ashodi za zaposlene</w:t>
      </w:r>
    </w:p>
    <w:p w14:paraId="350888D7" w14:textId="0D86DCB9" w:rsidR="00F63E60" w:rsidRDefault="00F63E60" w:rsidP="004444AB">
      <w:pPr>
        <w:rPr>
          <w:rFonts w:ascii="Times New Roman" w:hAnsi="Times New Roman"/>
          <w:bCs/>
          <w:sz w:val="24"/>
          <w:szCs w:val="24"/>
        </w:rPr>
      </w:pPr>
      <w:r w:rsidRPr="00F63E60">
        <w:rPr>
          <w:rFonts w:ascii="Times New Roman" w:hAnsi="Times New Roman"/>
          <w:bCs/>
          <w:sz w:val="24"/>
          <w:szCs w:val="24"/>
        </w:rPr>
        <w:t>Rashodi za zaposlene su najzastupljeniji u ukupnim rashodima</w:t>
      </w:r>
      <w:r>
        <w:rPr>
          <w:rFonts w:ascii="Times New Roman" w:hAnsi="Times New Roman"/>
          <w:bCs/>
          <w:sz w:val="24"/>
          <w:szCs w:val="24"/>
        </w:rPr>
        <w:t xml:space="preserve"> i čine 80% svih rashoda</w:t>
      </w:r>
      <w:r w:rsidR="00D1710B">
        <w:rPr>
          <w:rFonts w:ascii="Times New Roman" w:hAnsi="Times New Roman"/>
          <w:bCs/>
          <w:sz w:val="24"/>
          <w:szCs w:val="24"/>
        </w:rPr>
        <w:t xml:space="preserve"> Vrtića</w:t>
      </w:r>
      <w:r>
        <w:rPr>
          <w:rFonts w:ascii="Times New Roman" w:hAnsi="Times New Roman"/>
          <w:bCs/>
          <w:sz w:val="24"/>
          <w:szCs w:val="24"/>
        </w:rPr>
        <w:t>. U odnosu na 2021. godinu rashodi za zaposlene su veći za 28%, a u odnosu na planirana sredstva za 2022. su mani za 4 %.</w:t>
      </w:r>
    </w:p>
    <w:p w14:paraId="78B33BE1" w14:textId="27EC7930" w:rsidR="00F63E60" w:rsidRDefault="00F63E60" w:rsidP="004444AB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F63E60">
        <w:rPr>
          <w:rFonts w:ascii="Times New Roman" w:hAnsi="Times New Roman"/>
          <w:bCs/>
          <w:i/>
          <w:iCs/>
          <w:sz w:val="24"/>
          <w:szCs w:val="24"/>
          <w:u w:val="single"/>
        </w:rPr>
        <w:t>Plaće bruto</w:t>
      </w:r>
    </w:p>
    <w:p w14:paraId="35F1FBC9" w14:textId="1DD95FBE" w:rsidR="00F63E60" w:rsidRDefault="00E84AA3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Izdaci za plaće</w:t>
      </w:r>
      <w:r w:rsidR="00F63E60">
        <w:rPr>
          <w:rFonts w:ascii="Times New Roman" w:hAnsi="Times New Roman"/>
          <w:bCs/>
          <w:sz w:val="24"/>
          <w:szCs w:val="24"/>
        </w:rPr>
        <w:t xml:space="preserve"> bruto su povećan</w:t>
      </w:r>
      <w:r>
        <w:rPr>
          <w:rFonts w:ascii="Times New Roman" w:hAnsi="Times New Roman"/>
          <w:bCs/>
          <w:sz w:val="24"/>
          <w:szCs w:val="24"/>
        </w:rPr>
        <w:t>i</w:t>
      </w:r>
      <w:r w:rsidR="00F63E60">
        <w:rPr>
          <w:rFonts w:ascii="Times New Roman" w:hAnsi="Times New Roman"/>
          <w:bCs/>
          <w:sz w:val="24"/>
          <w:szCs w:val="24"/>
        </w:rPr>
        <w:t xml:space="preserve"> za 20% u odnosu na prethodno razdoblje , a manj</w:t>
      </w:r>
      <w:r>
        <w:rPr>
          <w:rFonts w:ascii="Times New Roman" w:hAnsi="Times New Roman"/>
          <w:bCs/>
          <w:sz w:val="24"/>
          <w:szCs w:val="24"/>
        </w:rPr>
        <w:t>i</w:t>
      </w:r>
      <w:r w:rsidR="00F63E60">
        <w:rPr>
          <w:rFonts w:ascii="Times New Roman" w:hAnsi="Times New Roman"/>
          <w:bCs/>
          <w:sz w:val="24"/>
          <w:szCs w:val="24"/>
        </w:rPr>
        <w:t xml:space="preserve"> su za 3</w:t>
      </w:r>
      <w:r>
        <w:rPr>
          <w:rFonts w:ascii="Times New Roman" w:hAnsi="Times New Roman"/>
          <w:bCs/>
          <w:sz w:val="24"/>
          <w:szCs w:val="24"/>
        </w:rPr>
        <w:t>%</w:t>
      </w:r>
      <w:r w:rsidR="00F63E60">
        <w:rPr>
          <w:rFonts w:ascii="Times New Roman" w:hAnsi="Times New Roman"/>
          <w:bCs/>
          <w:sz w:val="24"/>
          <w:szCs w:val="24"/>
        </w:rPr>
        <w:t xml:space="preserve"> u odnosu na planirana sredstva. Razlog povećanja plaća bruto je </w:t>
      </w:r>
      <w:r>
        <w:rPr>
          <w:rFonts w:ascii="Times New Roman" w:hAnsi="Times New Roman"/>
          <w:bCs/>
          <w:sz w:val="24"/>
          <w:szCs w:val="24"/>
        </w:rPr>
        <w:t xml:space="preserve">povećanje zakonski minimalne plaće za 2022. godinu, povećanje osnovice plaće i </w:t>
      </w:r>
      <w:r w:rsidR="00D1710B">
        <w:rPr>
          <w:rFonts w:ascii="Times New Roman" w:hAnsi="Times New Roman"/>
          <w:bCs/>
          <w:sz w:val="24"/>
          <w:szCs w:val="24"/>
        </w:rPr>
        <w:t xml:space="preserve"> popunjavanje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1710B">
        <w:rPr>
          <w:rFonts w:ascii="Times New Roman" w:hAnsi="Times New Roman"/>
          <w:bCs/>
          <w:sz w:val="24"/>
          <w:szCs w:val="24"/>
        </w:rPr>
        <w:t>radnih mjesta</w:t>
      </w:r>
      <w:r w:rsidR="003B420A">
        <w:rPr>
          <w:rFonts w:ascii="Times New Roman" w:hAnsi="Times New Roman"/>
          <w:bCs/>
          <w:sz w:val="24"/>
          <w:szCs w:val="24"/>
        </w:rPr>
        <w:t xml:space="preserve"> u skladu s planom poslovanja</w:t>
      </w:r>
      <w:r w:rsidR="00D1710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(tajnik i pomoćnica-spremačica).</w:t>
      </w:r>
    </w:p>
    <w:p w14:paraId="616BF484" w14:textId="7BE95993" w:rsidR="00E84AA3" w:rsidRDefault="00E84AA3" w:rsidP="004444AB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84AA3">
        <w:rPr>
          <w:rFonts w:ascii="Times New Roman" w:hAnsi="Times New Roman"/>
          <w:bCs/>
          <w:i/>
          <w:iCs/>
          <w:sz w:val="24"/>
          <w:szCs w:val="24"/>
          <w:u w:val="single"/>
        </w:rPr>
        <w:t>Ostali rashodi za zaposlene</w:t>
      </w:r>
    </w:p>
    <w:p w14:paraId="77DE1F09" w14:textId="53C04978" w:rsidR="00E84AA3" w:rsidRDefault="00E84AA3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Izdaci za ostale rashode za zaposlene su povećani znatno za 122 % u odnosu na razdoblje 2021.godine te su izvršeni  gotovo u cijelosti u odnosu na plan (99 % planiranih sredstava). Razlog povećanja su veći neoporezivi primici djelatnika u skladu s novim </w:t>
      </w:r>
      <w:r w:rsidR="00D162F0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ravilnikom poreza na dohodak.</w:t>
      </w:r>
    </w:p>
    <w:p w14:paraId="12782A0B" w14:textId="5C906B2F" w:rsidR="00D162F0" w:rsidRDefault="00D162F0" w:rsidP="00D162F0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Doprinosi na plaće</w:t>
      </w:r>
    </w:p>
    <w:p w14:paraId="12CF5F75" w14:textId="1FCEC71B" w:rsidR="00D162F0" w:rsidRPr="00E84AA3" w:rsidRDefault="00D162F0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Doprinosi na plaće su povećani za 19,44 % u odnosu na 2021. godinu, a manji su za 8,5 </w:t>
      </w:r>
      <w:r w:rsidR="00D1710B">
        <w:rPr>
          <w:rFonts w:ascii="Times New Roman" w:hAnsi="Times New Roman"/>
          <w:bCs/>
          <w:sz w:val="24"/>
          <w:szCs w:val="24"/>
        </w:rPr>
        <w:t>%</w:t>
      </w:r>
      <w:r>
        <w:rPr>
          <w:rFonts w:ascii="Times New Roman" w:hAnsi="Times New Roman"/>
          <w:bCs/>
          <w:sz w:val="24"/>
          <w:szCs w:val="24"/>
        </w:rPr>
        <w:t xml:space="preserve"> u odnosu na plan. Povećanje plaće bruto  automatski dovodi i do povećanja doprinosa.</w:t>
      </w:r>
    </w:p>
    <w:p w14:paraId="37734760" w14:textId="0B06CC93" w:rsidR="00A1742E" w:rsidRPr="00A1742E" w:rsidRDefault="00A1742E" w:rsidP="004444AB">
      <w:pPr>
        <w:rPr>
          <w:rFonts w:ascii="Times New Roman" w:hAnsi="Times New Roman"/>
          <w:bCs/>
          <w:sz w:val="24"/>
          <w:szCs w:val="24"/>
        </w:rPr>
      </w:pPr>
    </w:p>
    <w:p w14:paraId="551A40DD" w14:textId="6E04B59A" w:rsidR="004444AB" w:rsidRDefault="0038108D" w:rsidP="00444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Materijalni rashodi</w:t>
      </w:r>
    </w:p>
    <w:p w14:paraId="45B7D359" w14:textId="4ADD50E6" w:rsidR="0038108D" w:rsidRDefault="0038108D" w:rsidP="004444AB">
      <w:pPr>
        <w:rPr>
          <w:rFonts w:ascii="Times New Roman" w:hAnsi="Times New Roman"/>
          <w:bCs/>
          <w:sz w:val="24"/>
          <w:szCs w:val="24"/>
        </w:rPr>
      </w:pPr>
      <w:r w:rsidRPr="0038108D">
        <w:rPr>
          <w:rFonts w:ascii="Times New Roman" w:hAnsi="Times New Roman"/>
          <w:bCs/>
          <w:sz w:val="24"/>
          <w:szCs w:val="24"/>
        </w:rPr>
        <w:t>Materijalni rashodi se također značajno povećavaju u odnosu na 202</w:t>
      </w:r>
      <w:r w:rsidR="00D162F0">
        <w:rPr>
          <w:rFonts w:ascii="Times New Roman" w:hAnsi="Times New Roman"/>
          <w:bCs/>
          <w:sz w:val="24"/>
          <w:szCs w:val="24"/>
        </w:rPr>
        <w:t>1</w:t>
      </w:r>
      <w:r w:rsidRPr="0038108D">
        <w:rPr>
          <w:rFonts w:ascii="Times New Roman" w:hAnsi="Times New Roman"/>
          <w:bCs/>
          <w:sz w:val="24"/>
          <w:szCs w:val="24"/>
        </w:rPr>
        <w:t>.godinu</w:t>
      </w:r>
      <w:r>
        <w:rPr>
          <w:rFonts w:ascii="Times New Roman" w:hAnsi="Times New Roman"/>
          <w:bCs/>
          <w:sz w:val="24"/>
          <w:szCs w:val="24"/>
        </w:rPr>
        <w:t xml:space="preserve"> i to</w:t>
      </w:r>
      <w:r w:rsidR="00D162F0">
        <w:rPr>
          <w:rFonts w:ascii="Times New Roman" w:hAnsi="Times New Roman"/>
          <w:bCs/>
          <w:sz w:val="24"/>
          <w:szCs w:val="24"/>
        </w:rPr>
        <w:t xml:space="preserve"> za 23%, a</w:t>
      </w:r>
      <w:r w:rsidR="00C472CE">
        <w:rPr>
          <w:rFonts w:ascii="Times New Roman" w:hAnsi="Times New Roman"/>
          <w:bCs/>
          <w:sz w:val="24"/>
          <w:szCs w:val="24"/>
        </w:rPr>
        <w:t xml:space="preserve"> </w:t>
      </w:r>
      <w:r w:rsidR="00D162F0">
        <w:rPr>
          <w:rFonts w:ascii="Times New Roman" w:hAnsi="Times New Roman"/>
          <w:bCs/>
          <w:sz w:val="24"/>
          <w:szCs w:val="24"/>
        </w:rPr>
        <w:t>u odnosu na plan su manji za 29%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15456BE" w14:textId="340DE27F" w:rsidR="0038108D" w:rsidRDefault="0038108D" w:rsidP="004444AB">
      <w:pPr>
        <w:rPr>
          <w:rFonts w:ascii="Times New Roman" w:hAnsi="Times New Roman"/>
          <w:bCs/>
          <w:sz w:val="24"/>
          <w:szCs w:val="24"/>
        </w:rPr>
      </w:pPr>
      <w:r w:rsidRPr="00CC7736">
        <w:rPr>
          <w:rFonts w:ascii="Times New Roman" w:hAnsi="Times New Roman"/>
          <w:bCs/>
          <w:i/>
          <w:iCs/>
          <w:sz w:val="24"/>
          <w:szCs w:val="24"/>
          <w:u w:val="single"/>
        </w:rPr>
        <w:t>Naknade troškova zaposlenima</w:t>
      </w:r>
      <w:r w:rsidR="005A19B8" w:rsidRPr="00CC773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A19B8">
        <w:rPr>
          <w:rFonts w:ascii="Times New Roman" w:hAnsi="Times New Roman"/>
          <w:bCs/>
          <w:sz w:val="24"/>
          <w:szCs w:val="24"/>
        </w:rPr>
        <w:t xml:space="preserve">se povećavaju za </w:t>
      </w:r>
      <w:r w:rsidR="00C472CE">
        <w:rPr>
          <w:rFonts w:ascii="Times New Roman" w:hAnsi="Times New Roman"/>
          <w:bCs/>
          <w:sz w:val="24"/>
          <w:szCs w:val="24"/>
        </w:rPr>
        <w:t>44</w:t>
      </w:r>
      <w:r w:rsidR="00D162F0">
        <w:rPr>
          <w:rFonts w:ascii="Times New Roman" w:hAnsi="Times New Roman"/>
          <w:bCs/>
          <w:sz w:val="24"/>
          <w:szCs w:val="24"/>
        </w:rPr>
        <w:t xml:space="preserve"> </w:t>
      </w:r>
      <w:r w:rsidR="005A19B8">
        <w:rPr>
          <w:rFonts w:ascii="Times New Roman" w:hAnsi="Times New Roman"/>
          <w:bCs/>
          <w:sz w:val="24"/>
          <w:szCs w:val="24"/>
        </w:rPr>
        <w:t>% u odnosu na prethodnu godinu</w:t>
      </w:r>
      <w:r w:rsidR="00D162F0">
        <w:rPr>
          <w:rFonts w:ascii="Times New Roman" w:hAnsi="Times New Roman"/>
          <w:bCs/>
          <w:sz w:val="24"/>
          <w:szCs w:val="24"/>
        </w:rPr>
        <w:t>, a za 20 % su m</w:t>
      </w:r>
      <w:r w:rsidR="00C472CE">
        <w:rPr>
          <w:rFonts w:ascii="Times New Roman" w:hAnsi="Times New Roman"/>
          <w:bCs/>
          <w:sz w:val="24"/>
          <w:szCs w:val="24"/>
        </w:rPr>
        <w:t>a</w:t>
      </w:r>
      <w:r w:rsidR="00D162F0">
        <w:rPr>
          <w:rFonts w:ascii="Times New Roman" w:hAnsi="Times New Roman"/>
          <w:bCs/>
          <w:sz w:val="24"/>
          <w:szCs w:val="24"/>
        </w:rPr>
        <w:t>nje u odnosu na planiran</w:t>
      </w:r>
      <w:r w:rsidR="00C472CE">
        <w:rPr>
          <w:rFonts w:ascii="Times New Roman" w:hAnsi="Times New Roman"/>
          <w:bCs/>
          <w:sz w:val="24"/>
          <w:szCs w:val="24"/>
        </w:rPr>
        <w:t>a</w:t>
      </w:r>
      <w:r w:rsidR="00D162F0">
        <w:rPr>
          <w:rFonts w:ascii="Times New Roman" w:hAnsi="Times New Roman"/>
          <w:bCs/>
          <w:sz w:val="24"/>
          <w:szCs w:val="24"/>
        </w:rPr>
        <w:t xml:space="preserve"> sredstva</w:t>
      </w:r>
      <w:r w:rsidR="005A19B8">
        <w:rPr>
          <w:rFonts w:ascii="Times New Roman" w:hAnsi="Times New Roman"/>
          <w:bCs/>
          <w:sz w:val="24"/>
          <w:szCs w:val="24"/>
        </w:rPr>
        <w:t xml:space="preserve">. Razlog </w:t>
      </w:r>
      <w:r w:rsidR="00C472CE">
        <w:rPr>
          <w:rFonts w:ascii="Times New Roman" w:hAnsi="Times New Roman"/>
          <w:bCs/>
          <w:sz w:val="24"/>
          <w:szCs w:val="24"/>
        </w:rPr>
        <w:t xml:space="preserve">povećanja </w:t>
      </w:r>
      <w:r w:rsidR="005A19B8">
        <w:rPr>
          <w:rFonts w:ascii="Times New Roman" w:hAnsi="Times New Roman"/>
          <w:bCs/>
          <w:sz w:val="24"/>
          <w:szCs w:val="24"/>
        </w:rPr>
        <w:t xml:space="preserve">su </w:t>
      </w:r>
      <w:r w:rsidR="00C472CE">
        <w:rPr>
          <w:rFonts w:ascii="Times New Roman" w:hAnsi="Times New Roman"/>
          <w:bCs/>
          <w:sz w:val="24"/>
          <w:szCs w:val="24"/>
        </w:rPr>
        <w:t>povećani izdaci za neophodno stručno usavršavanje djelatnika , a smanjenje u odnosu na planirana sredstva se odnosi na izdatke za prijevoz na posao s posla koji su zbog korekcije cijene putne karte manji od planiranih izdataka</w:t>
      </w:r>
      <w:r w:rsidR="005A19B8">
        <w:rPr>
          <w:rFonts w:ascii="Times New Roman" w:hAnsi="Times New Roman"/>
          <w:bCs/>
          <w:sz w:val="24"/>
          <w:szCs w:val="24"/>
        </w:rPr>
        <w:t xml:space="preserve">. </w:t>
      </w:r>
    </w:p>
    <w:p w14:paraId="373B5F68" w14:textId="7EC1116F" w:rsidR="00CC7736" w:rsidRDefault="00CC7736" w:rsidP="004444AB">
      <w:pPr>
        <w:rPr>
          <w:rFonts w:ascii="Times New Roman" w:hAnsi="Times New Roman"/>
          <w:bCs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lastRenderedPageBreak/>
        <w:t>Rashodi za materijal i energiju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C7736">
        <w:rPr>
          <w:rFonts w:ascii="Times New Roman" w:hAnsi="Times New Roman"/>
          <w:bCs/>
          <w:sz w:val="24"/>
          <w:szCs w:val="24"/>
        </w:rPr>
        <w:t>s</w:t>
      </w:r>
      <w:r w:rsidR="00D1710B">
        <w:rPr>
          <w:rFonts w:ascii="Times New Roman" w:hAnsi="Times New Roman"/>
          <w:bCs/>
          <w:sz w:val="24"/>
          <w:szCs w:val="24"/>
        </w:rPr>
        <w:t>u</w:t>
      </w:r>
      <w:r w:rsidRPr="00CC7736">
        <w:rPr>
          <w:rFonts w:ascii="Times New Roman" w:hAnsi="Times New Roman"/>
          <w:bCs/>
          <w:sz w:val="24"/>
          <w:szCs w:val="24"/>
        </w:rPr>
        <w:t xml:space="preserve"> poveć</w:t>
      </w:r>
      <w:r w:rsidR="0004792C">
        <w:rPr>
          <w:rFonts w:ascii="Times New Roman" w:hAnsi="Times New Roman"/>
          <w:bCs/>
          <w:sz w:val="24"/>
          <w:szCs w:val="24"/>
        </w:rPr>
        <w:t>ani</w:t>
      </w:r>
      <w:r w:rsidRPr="00CC7736">
        <w:rPr>
          <w:rFonts w:ascii="Times New Roman" w:hAnsi="Times New Roman"/>
          <w:bCs/>
          <w:sz w:val="24"/>
          <w:szCs w:val="24"/>
        </w:rPr>
        <w:t xml:space="preserve"> za 2</w:t>
      </w:r>
      <w:r w:rsidR="0004792C">
        <w:rPr>
          <w:rFonts w:ascii="Times New Roman" w:hAnsi="Times New Roman"/>
          <w:bCs/>
          <w:sz w:val="24"/>
          <w:szCs w:val="24"/>
        </w:rPr>
        <w:t xml:space="preserve">4 </w:t>
      </w:r>
      <w:r w:rsidRPr="00CC7736">
        <w:rPr>
          <w:rFonts w:ascii="Times New Roman" w:hAnsi="Times New Roman"/>
          <w:bCs/>
          <w:sz w:val="24"/>
          <w:szCs w:val="24"/>
        </w:rPr>
        <w:t>%</w:t>
      </w:r>
      <w:r w:rsidR="0004792C">
        <w:rPr>
          <w:rFonts w:ascii="Times New Roman" w:hAnsi="Times New Roman"/>
          <w:bCs/>
          <w:sz w:val="24"/>
          <w:szCs w:val="24"/>
        </w:rPr>
        <w:t xml:space="preserve"> u odnosu na prethodno razdoblje</w:t>
      </w:r>
      <w:r w:rsidRPr="00CC7736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R</w:t>
      </w:r>
      <w:r w:rsidRPr="00CC7736">
        <w:rPr>
          <w:rFonts w:ascii="Times New Roman" w:hAnsi="Times New Roman"/>
          <w:bCs/>
          <w:sz w:val="24"/>
          <w:szCs w:val="24"/>
        </w:rPr>
        <w:t xml:space="preserve">azlog </w:t>
      </w:r>
      <w:r w:rsidR="0004792C">
        <w:rPr>
          <w:rFonts w:ascii="Times New Roman" w:hAnsi="Times New Roman"/>
          <w:bCs/>
          <w:sz w:val="24"/>
          <w:szCs w:val="24"/>
        </w:rPr>
        <w:t xml:space="preserve">povećanja </w:t>
      </w:r>
      <w:r w:rsidRPr="00CC7736">
        <w:rPr>
          <w:rFonts w:ascii="Times New Roman" w:hAnsi="Times New Roman"/>
          <w:bCs/>
          <w:sz w:val="24"/>
          <w:szCs w:val="24"/>
        </w:rPr>
        <w:t xml:space="preserve">su povećanje cijena dobara i </w:t>
      </w:r>
      <w:r w:rsidR="00462F83">
        <w:rPr>
          <w:rFonts w:ascii="Times New Roman" w:hAnsi="Times New Roman"/>
          <w:bCs/>
          <w:sz w:val="24"/>
          <w:szCs w:val="24"/>
        </w:rPr>
        <w:t>energije</w:t>
      </w:r>
      <w:r w:rsidRPr="00CC7736">
        <w:rPr>
          <w:rFonts w:ascii="Times New Roman" w:hAnsi="Times New Roman"/>
          <w:bCs/>
          <w:sz w:val="24"/>
          <w:szCs w:val="24"/>
        </w:rPr>
        <w:t xml:space="preserve"> na tržištu te povećanje broja djece koja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C7736">
        <w:rPr>
          <w:rFonts w:ascii="Times New Roman" w:hAnsi="Times New Roman"/>
          <w:bCs/>
          <w:sz w:val="24"/>
          <w:szCs w:val="24"/>
        </w:rPr>
        <w:t>koriste uslugu ručka</w:t>
      </w:r>
      <w:r w:rsidRPr="00462F83">
        <w:rPr>
          <w:rFonts w:ascii="Times New Roman" w:hAnsi="Times New Roman"/>
          <w:bCs/>
          <w:sz w:val="24"/>
          <w:szCs w:val="24"/>
        </w:rPr>
        <w:t>.</w:t>
      </w:r>
      <w:r w:rsidR="00605275">
        <w:rPr>
          <w:rFonts w:ascii="Times New Roman" w:hAnsi="Times New Roman"/>
          <w:bCs/>
          <w:sz w:val="24"/>
          <w:szCs w:val="24"/>
        </w:rPr>
        <w:t xml:space="preserve"> </w:t>
      </w:r>
      <w:r w:rsidR="0095402D">
        <w:rPr>
          <w:rFonts w:ascii="Times New Roman" w:hAnsi="Times New Roman"/>
          <w:bCs/>
          <w:sz w:val="24"/>
          <w:szCs w:val="24"/>
        </w:rPr>
        <w:t>P</w:t>
      </w:r>
      <w:r w:rsidR="003A711A">
        <w:rPr>
          <w:rFonts w:ascii="Times New Roman" w:hAnsi="Times New Roman"/>
          <w:bCs/>
          <w:sz w:val="24"/>
          <w:szCs w:val="24"/>
        </w:rPr>
        <w:t xml:space="preserve">ovećanje rashoda za materijal i energiju se isključivo odnosi na materijal i sirovine, energiju i uredski materijal </w:t>
      </w:r>
      <w:r w:rsidR="00C55442">
        <w:rPr>
          <w:rFonts w:ascii="Times New Roman" w:hAnsi="Times New Roman"/>
          <w:bCs/>
          <w:sz w:val="24"/>
          <w:szCs w:val="24"/>
        </w:rPr>
        <w:t>,</w:t>
      </w:r>
      <w:r w:rsidR="003A711A">
        <w:rPr>
          <w:rFonts w:ascii="Times New Roman" w:hAnsi="Times New Roman"/>
          <w:bCs/>
          <w:sz w:val="24"/>
          <w:szCs w:val="24"/>
        </w:rPr>
        <w:t xml:space="preserve"> potrošni materijal za rad s djecom, higijenske potrepštine i sredstva za čišćenje</w:t>
      </w:r>
      <w:r w:rsidR="003B420A">
        <w:rPr>
          <w:rFonts w:ascii="Times New Roman" w:hAnsi="Times New Roman"/>
          <w:bCs/>
          <w:sz w:val="24"/>
          <w:szCs w:val="24"/>
        </w:rPr>
        <w:t>, radnu odjeću i obuću i sitni inventar</w:t>
      </w:r>
      <w:r w:rsidR="00C55442">
        <w:rPr>
          <w:rFonts w:ascii="Times New Roman" w:hAnsi="Times New Roman"/>
          <w:bCs/>
          <w:sz w:val="24"/>
          <w:szCs w:val="24"/>
        </w:rPr>
        <w:t>.</w:t>
      </w:r>
    </w:p>
    <w:p w14:paraId="62A43A98" w14:textId="0D72D49D" w:rsidR="0004792C" w:rsidRDefault="0004792C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Ukupni rashodi za materijal i energiju su manji za 27% u odnosu na planirana sredstva. Odstupanje od planiranih sredstava se najvećim dijelom odnosi na izdatke za električnu energiju. Planirani izdaci za električnu energiju su </w:t>
      </w:r>
      <w:r w:rsidR="003B420A">
        <w:rPr>
          <w:rFonts w:ascii="Times New Roman" w:hAnsi="Times New Roman"/>
          <w:bCs/>
          <w:sz w:val="24"/>
          <w:szCs w:val="24"/>
        </w:rPr>
        <w:t xml:space="preserve">rezultat </w:t>
      </w:r>
      <w:r>
        <w:rPr>
          <w:rFonts w:ascii="Times New Roman" w:hAnsi="Times New Roman"/>
          <w:bCs/>
          <w:sz w:val="24"/>
          <w:szCs w:val="24"/>
        </w:rPr>
        <w:t xml:space="preserve"> cijen</w:t>
      </w:r>
      <w:r w:rsidR="003B420A">
        <w:rPr>
          <w:rFonts w:ascii="Times New Roman" w:hAnsi="Times New Roman"/>
          <w:bCs/>
          <w:sz w:val="24"/>
          <w:szCs w:val="24"/>
        </w:rPr>
        <w:t>e</w:t>
      </w:r>
      <w:r w:rsidR="007666D0">
        <w:rPr>
          <w:rFonts w:ascii="Times New Roman" w:hAnsi="Times New Roman"/>
          <w:bCs/>
          <w:sz w:val="24"/>
          <w:szCs w:val="24"/>
        </w:rPr>
        <w:t xml:space="preserve"> energije</w:t>
      </w:r>
      <w:r>
        <w:rPr>
          <w:rFonts w:ascii="Times New Roman" w:hAnsi="Times New Roman"/>
          <w:bCs/>
          <w:sz w:val="24"/>
          <w:szCs w:val="24"/>
        </w:rPr>
        <w:t xml:space="preserve"> na tržištu na bazi potrošnje prethodne godine. U 2022. potrošnja električne energije u Vrtiću je manja za 35%</w:t>
      </w:r>
      <w:r w:rsidR="003B420A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( u </w:t>
      </w:r>
      <w:r w:rsidR="007666D0">
        <w:rPr>
          <w:rFonts w:ascii="Times New Roman" w:hAnsi="Times New Roman"/>
          <w:bCs/>
          <w:sz w:val="24"/>
          <w:szCs w:val="24"/>
        </w:rPr>
        <w:t>kW</w:t>
      </w:r>
      <w:r>
        <w:rPr>
          <w:rFonts w:ascii="Times New Roman" w:hAnsi="Times New Roman"/>
          <w:bCs/>
          <w:sz w:val="24"/>
          <w:szCs w:val="24"/>
        </w:rPr>
        <w:t xml:space="preserve">), a </w:t>
      </w:r>
      <w:r w:rsidR="007666D0">
        <w:rPr>
          <w:rFonts w:ascii="Times New Roman" w:hAnsi="Times New Roman"/>
          <w:bCs/>
          <w:sz w:val="24"/>
          <w:szCs w:val="24"/>
        </w:rPr>
        <w:t xml:space="preserve">pored toga u zadnjem tromjesečju 2022. veći dio potrošnje je </w:t>
      </w:r>
      <w:r w:rsidR="00B55E2B">
        <w:rPr>
          <w:rFonts w:ascii="Times New Roman" w:hAnsi="Times New Roman"/>
          <w:bCs/>
          <w:sz w:val="24"/>
          <w:szCs w:val="24"/>
        </w:rPr>
        <w:t>podmiren</w:t>
      </w:r>
      <w:r w:rsidR="007666D0">
        <w:rPr>
          <w:rFonts w:ascii="Times New Roman" w:hAnsi="Times New Roman"/>
          <w:bCs/>
          <w:sz w:val="24"/>
          <w:szCs w:val="24"/>
        </w:rPr>
        <w:t xml:space="preserve"> od strane Vlade RH</w:t>
      </w:r>
      <w:r w:rsidR="00B55E2B">
        <w:rPr>
          <w:rFonts w:ascii="Times New Roman" w:hAnsi="Times New Roman"/>
          <w:bCs/>
          <w:sz w:val="24"/>
          <w:szCs w:val="24"/>
        </w:rPr>
        <w:t>. (Uredba Vlade RH)</w:t>
      </w:r>
      <w:r w:rsidR="00ED5CF9">
        <w:rPr>
          <w:rFonts w:ascii="Times New Roman" w:hAnsi="Times New Roman"/>
          <w:bCs/>
          <w:sz w:val="24"/>
          <w:szCs w:val="24"/>
        </w:rPr>
        <w:t>.</w:t>
      </w:r>
    </w:p>
    <w:p w14:paraId="54E58983" w14:textId="1C882A2D" w:rsidR="007666D0" w:rsidRDefault="00462F83" w:rsidP="004444AB">
      <w:pPr>
        <w:rPr>
          <w:rFonts w:ascii="Times New Roman" w:hAnsi="Times New Roman"/>
          <w:bCs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t>Rashodi za usluge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666D0">
        <w:rPr>
          <w:rFonts w:ascii="Times New Roman" w:hAnsi="Times New Roman"/>
          <w:bCs/>
          <w:sz w:val="24"/>
          <w:szCs w:val="24"/>
        </w:rPr>
        <w:t xml:space="preserve">u 2022. godini su manji </w:t>
      </w:r>
      <w:r w:rsidR="00D1710B">
        <w:rPr>
          <w:rFonts w:ascii="Times New Roman" w:hAnsi="Times New Roman"/>
          <w:bCs/>
          <w:sz w:val="24"/>
          <w:szCs w:val="24"/>
        </w:rPr>
        <w:t xml:space="preserve">u odnosu na </w:t>
      </w:r>
      <w:r w:rsidR="007666D0">
        <w:rPr>
          <w:rFonts w:ascii="Times New Roman" w:hAnsi="Times New Roman"/>
          <w:bCs/>
          <w:sz w:val="24"/>
          <w:szCs w:val="24"/>
        </w:rPr>
        <w:t>2021 godinu i u odnosu na plan. Razlog tome</w:t>
      </w:r>
      <w:r w:rsidR="00D1710B">
        <w:rPr>
          <w:rFonts w:ascii="Times New Roman" w:hAnsi="Times New Roman"/>
          <w:bCs/>
          <w:sz w:val="24"/>
          <w:szCs w:val="24"/>
        </w:rPr>
        <w:t xml:space="preserve"> je </w:t>
      </w:r>
      <w:r w:rsidR="007666D0">
        <w:rPr>
          <w:rFonts w:ascii="Times New Roman" w:hAnsi="Times New Roman"/>
          <w:bCs/>
          <w:sz w:val="24"/>
          <w:szCs w:val="24"/>
        </w:rPr>
        <w:t xml:space="preserve"> što usprkos povećanju cijena na tržištu velik dio usluga </w:t>
      </w:r>
      <w:r w:rsidR="00D1710B">
        <w:rPr>
          <w:rFonts w:ascii="Times New Roman" w:hAnsi="Times New Roman"/>
          <w:bCs/>
          <w:sz w:val="24"/>
          <w:szCs w:val="24"/>
        </w:rPr>
        <w:t>je obavljen u 2021. godini,</w:t>
      </w:r>
      <w:r w:rsidR="007666D0">
        <w:rPr>
          <w:rFonts w:ascii="Times New Roman" w:hAnsi="Times New Roman"/>
          <w:bCs/>
          <w:sz w:val="24"/>
          <w:szCs w:val="24"/>
        </w:rPr>
        <w:t xml:space="preserve"> prilikom početka rada ustanove</w:t>
      </w:r>
      <w:r w:rsidR="00D1710B">
        <w:rPr>
          <w:rFonts w:ascii="Times New Roman" w:hAnsi="Times New Roman"/>
          <w:bCs/>
          <w:sz w:val="24"/>
          <w:szCs w:val="24"/>
        </w:rPr>
        <w:t xml:space="preserve"> te u </w:t>
      </w:r>
      <w:r w:rsidR="007666D0">
        <w:rPr>
          <w:rFonts w:ascii="Times New Roman" w:hAnsi="Times New Roman"/>
          <w:bCs/>
          <w:sz w:val="24"/>
          <w:szCs w:val="24"/>
        </w:rPr>
        <w:t xml:space="preserve"> 2022. godini nije bilo potrebe za istima. Kao primjer su obvezni l</w:t>
      </w:r>
      <w:r w:rsidR="00D1710B">
        <w:rPr>
          <w:rFonts w:ascii="Times New Roman" w:hAnsi="Times New Roman"/>
          <w:bCs/>
          <w:sz w:val="24"/>
          <w:szCs w:val="24"/>
        </w:rPr>
        <w:t>i</w:t>
      </w:r>
      <w:r w:rsidR="007666D0">
        <w:rPr>
          <w:rFonts w:ascii="Times New Roman" w:hAnsi="Times New Roman"/>
          <w:bCs/>
          <w:sz w:val="24"/>
          <w:szCs w:val="24"/>
        </w:rPr>
        <w:t xml:space="preserve">ječnički pregledi prilikom početka rada djelatnika u ustanovi, </w:t>
      </w:r>
      <w:r w:rsidR="00997597">
        <w:rPr>
          <w:rFonts w:ascii="Times New Roman" w:hAnsi="Times New Roman"/>
          <w:bCs/>
          <w:sz w:val="24"/>
          <w:szCs w:val="24"/>
        </w:rPr>
        <w:t>izrada programa i pravilnika zaštite na radu i zaštite od požara</w:t>
      </w:r>
      <w:r w:rsidR="00D35C68">
        <w:rPr>
          <w:rFonts w:ascii="Times New Roman" w:hAnsi="Times New Roman"/>
          <w:bCs/>
          <w:sz w:val="24"/>
          <w:szCs w:val="24"/>
        </w:rPr>
        <w:t>, izrada poslovnih certifikata</w:t>
      </w:r>
      <w:r w:rsidR="00997597">
        <w:rPr>
          <w:rFonts w:ascii="Times New Roman" w:hAnsi="Times New Roman"/>
          <w:bCs/>
          <w:sz w:val="24"/>
          <w:szCs w:val="24"/>
        </w:rPr>
        <w:t xml:space="preserve">…. Došlo je i do smanjenja izdataka u 2022. godini </w:t>
      </w:r>
      <w:r w:rsidR="00D35C68">
        <w:rPr>
          <w:rFonts w:ascii="Times New Roman" w:hAnsi="Times New Roman"/>
          <w:bCs/>
          <w:sz w:val="24"/>
          <w:szCs w:val="24"/>
        </w:rPr>
        <w:t>za</w:t>
      </w:r>
      <w:r w:rsidR="00997597">
        <w:rPr>
          <w:rFonts w:ascii="Times New Roman" w:hAnsi="Times New Roman"/>
          <w:bCs/>
          <w:sz w:val="24"/>
          <w:szCs w:val="24"/>
        </w:rPr>
        <w:t xml:space="preserve"> </w:t>
      </w:r>
      <w:r w:rsidR="00D1710B">
        <w:rPr>
          <w:rFonts w:ascii="Times New Roman" w:hAnsi="Times New Roman"/>
          <w:bCs/>
          <w:sz w:val="24"/>
          <w:szCs w:val="24"/>
        </w:rPr>
        <w:t>pojed</w:t>
      </w:r>
      <w:r w:rsidR="00D35C68">
        <w:rPr>
          <w:rFonts w:ascii="Times New Roman" w:hAnsi="Times New Roman"/>
          <w:bCs/>
          <w:sz w:val="24"/>
          <w:szCs w:val="24"/>
        </w:rPr>
        <w:t>ine</w:t>
      </w:r>
      <w:r w:rsidR="00997597">
        <w:rPr>
          <w:rFonts w:ascii="Times New Roman" w:hAnsi="Times New Roman"/>
          <w:bCs/>
          <w:sz w:val="24"/>
          <w:szCs w:val="24"/>
        </w:rPr>
        <w:t xml:space="preserve"> uslug</w:t>
      </w:r>
      <w:r w:rsidR="00D35C68">
        <w:rPr>
          <w:rFonts w:ascii="Times New Roman" w:hAnsi="Times New Roman"/>
          <w:bCs/>
          <w:sz w:val="24"/>
          <w:szCs w:val="24"/>
        </w:rPr>
        <w:t>e</w:t>
      </w:r>
      <w:r w:rsidR="00997597">
        <w:rPr>
          <w:rFonts w:ascii="Times New Roman" w:hAnsi="Times New Roman"/>
          <w:bCs/>
          <w:sz w:val="24"/>
          <w:szCs w:val="24"/>
        </w:rPr>
        <w:t xml:space="preserve"> ( iznošenje i odvoz smeća)</w:t>
      </w:r>
    </w:p>
    <w:p w14:paraId="29F5D469" w14:textId="55004CF5" w:rsidR="00C55442" w:rsidRDefault="00AD2275" w:rsidP="00F320B8">
      <w:pPr>
        <w:rPr>
          <w:rFonts w:ascii="Times New Roman" w:hAnsi="Times New Roman"/>
          <w:b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t>Ostali nespomenuti rashodi poslovanja</w:t>
      </w:r>
      <w:r w:rsidR="00F914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9145B" w:rsidRPr="00F9145B">
        <w:rPr>
          <w:rFonts w:ascii="Times New Roman" w:hAnsi="Times New Roman"/>
          <w:bCs/>
          <w:sz w:val="24"/>
          <w:szCs w:val="24"/>
        </w:rPr>
        <w:t>se poveća</w:t>
      </w:r>
      <w:r w:rsidR="00B55E2B">
        <w:rPr>
          <w:rFonts w:ascii="Times New Roman" w:hAnsi="Times New Roman"/>
          <w:bCs/>
          <w:sz w:val="24"/>
          <w:szCs w:val="24"/>
        </w:rPr>
        <w:t>ni</w:t>
      </w:r>
      <w:r w:rsidR="00F9145B" w:rsidRPr="00F9145B">
        <w:rPr>
          <w:rFonts w:ascii="Times New Roman" w:hAnsi="Times New Roman"/>
          <w:bCs/>
          <w:sz w:val="24"/>
          <w:szCs w:val="24"/>
        </w:rPr>
        <w:t xml:space="preserve"> za </w:t>
      </w:r>
      <w:r w:rsidR="00997597">
        <w:rPr>
          <w:rFonts w:ascii="Times New Roman" w:hAnsi="Times New Roman"/>
          <w:bCs/>
          <w:sz w:val="24"/>
          <w:szCs w:val="24"/>
        </w:rPr>
        <w:t xml:space="preserve">121 </w:t>
      </w:r>
      <w:r w:rsidR="00F9145B" w:rsidRPr="00F9145B">
        <w:rPr>
          <w:rFonts w:ascii="Times New Roman" w:hAnsi="Times New Roman"/>
          <w:bCs/>
          <w:sz w:val="24"/>
          <w:szCs w:val="24"/>
        </w:rPr>
        <w:t>%</w:t>
      </w:r>
      <w:r w:rsidR="00F9145B">
        <w:rPr>
          <w:rFonts w:ascii="Times New Roman" w:hAnsi="Times New Roman"/>
          <w:bCs/>
          <w:sz w:val="24"/>
          <w:szCs w:val="24"/>
        </w:rPr>
        <w:t xml:space="preserve"> u odnosu na 202</w:t>
      </w:r>
      <w:r w:rsidR="00997597">
        <w:rPr>
          <w:rFonts w:ascii="Times New Roman" w:hAnsi="Times New Roman"/>
          <w:bCs/>
          <w:sz w:val="24"/>
          <w:szCs w:val="24"/>
        </w:rPr>
        <w:t>1</w:t>
      </w:r>
      <w:r w:rsidR="00F9145B">
        <w:rPr>
          <w:rFonts w:ascii="Times New Roman" w:hAnsi="Times New Roman"/>
          <w:bCs/>
          <w:sz w:val="24"/>
          <w:szCs w:val="24"/>
        </w:rPr>
        <w:t xml:space="preserve">. </w:t>
      </w:r>
      <w:r w:rsidR="003C798D">
        <w:rPr>
          <w:rFonts w:ascii="Times New Roman" w:hAnsi="Times New Roman"/>
          <w:bCs/>
          <w:sz w:val="24"/>
          <w:szCs w:val="24"/>
        </w:rPr>
        <w:t>N</w:t>
      </w:r>
      <w:r w:rsidR="00997597">
        <w:rPr>
          <w:rFonts w:ascii="Times New Roman" w:hAnsi="Times New Roman"/>
          <w:bCs/>
          <w:sz w:val="24"/>
          <w:szCs w:val="24"/>
        </w:rPr>
        <w:t>avedeni rashodi su manjim dijelom zastupljeni u ukupnim rashodima</w:t>
      </w:r>
      <w:r w:rsidR="00B55E2B">
        <w:rPr>
          <w:rFonts w:ascii="Times New Roman" w:hAnsi="Times New Roman"/>
          <w:bCs/>
          <w:sz w:val="24"/>
          <w:szCs w:val="24"/>
        </w:rPr>
        <w:t xml:space="preserve">, a povećani su zbog naknada </w:t>
      </w:r>
      <w:r w:rsidR="00997597">
        <w:rPr>
          <w:rFonts w:ascii="Times New Roman" w:hAnsi="Times New Roman"/>
          <w:bCs/>
          <w:sz w:val="24"/>
          <w:szCs w:val="24"/>
        </w:rPr>
        <w:t xml:space="preserve"> </w:t>
      </w:r>
      <w:r w:rsidR="00B55E2B">
        <w:rPr>
          <w:rFonts w:ascii="Times New Roman" w:hAnsi="Times New Roman"/>
          <w:bCs/>
          <w:sz w:val="24"/>
          <w:szCs w:val="24"/>
        </w:rPr>
        <w:t>za rad predstavničkih i izvršnih tijela . U 2022. godini su veći samo iz razloga jer se u 2021</w:t>
      </w:r>
      <w:r w:rsidR="003C798D">
        <w:rPr>
          <w:rFonts w:ascii="Times New Roman" w:hAnsi="Times New Roman"/>
          <w:bCs/>
          <w:sz w:val="24"/>
          <w:szCs w:val="24"/>
        </w:rPr>
        <w:t>.</w:t>
      </w:r>
      <w:r w:rsidR="00B55E2B">
        <w:rPr>
          <w:rFonts w:ascii="Times New Roman" w:hAnsi="Times New Roman"/>
          <w:bCs/>
          <w:sz w:val="24"/>
          <w:szCs w:val="24"/>
        </w:rPr>
        <w:t xml:space="preserve"> godini naknada realizira tek od rujna 2021. Navedeni rashodi su manji u odnosu na planirana sredstva.</w:t>
      </w:r>
    </w:p>
    <w:p w14:paraId="58CB747C" w14:textId="33CBBBF1" w:rsidR="00F320B8" w:rsidRPr="009914B7" w:rsidRDefault="003A711A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6555D0" w:rsidRPr="009914B7">
        <w:rPr>
          <w:rFonts w:ascii="Times New Roman" w:hAnsi="Times New Roman"/>
          <w:b/>
          <w:sz w:val="24"/>
          <w:szCs w:val="24"/>
        </w:rPr>
        <w:t xml:space="preserve">inancijski rashodi </w:t>
      </w:r>
    </w:p>
    <w:p w14:paraId="1040949D" w14:textId="6791AA1E" w:rsidR="00E41993" w:rsidRDefault="00E41993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</w:t>
      </w:r>
      <w:r w:rsidR="00D1453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cijske rashode  Vrtića čine </w:t>
      </w:r>
      <w:r w:rsidR="00A2542C">
        <w:rPr>
          <w:rFonts w:ascii="Times New Roman" w:hAnsi="Times New Roman"/>
          <w:sz w:val="24"/>
          <w:szCs w:val="24"/>
        </w:rPr>
        <w:t>usluge platnog prometa</w:t>
      </w:r>
      <w:r>
        <w:rPr>
          <w:rFonts w:ascii="Times New Roman" w:hAnsi="Times New Roman"/>
          <w:sz w:val="24"/>
          <w:szCs w:val="24"/>
        </w:rPr>
        <w:t>.</w:t>
      </w:r>
      <w:r w:rsidR="00E06B15">
        <w:rPr>
          <w:rFonts w:ascii="Times New Roman" w:hAnsi="Times New Roman"/>
          <w:sz w:val="24"/>
          <w:szCs w:val="24"/>
        </w:rPr>
        <w:t xml:space="preserve"> Oni </w:t>
      </w:r>
      <w:r w:rsidR="00B55E2B">
        <w:rPr>
          <w:rFonts w:ascii="Times New Roman" w:hAnsi="Times New Roman"/>
          <w:sz w:val="24"/>
          <w:szCs w:val="24"/>
        </w:rPr>
        <w:t xml:space="preserve">su u odnosu na proteklo razdoblje veći za 21 % </w:t>
      </w:r>
      <w:r w:rsidR="00E06B15">
        <w:rPr>
          <w:rFonts w:ascii="Times New Roman" w:hAnsi="Times New Roman"/>
          <w:sz w:val="24"/>
          <w:szCs w:val="24"/>
        </w:rPr>
        <w:t xml:space="preserve"> uslijed povećavanja naknada za usluge platnog prometa.</w:t>
      </w:r>
      <w:r w:rsidR="00B55E2B">
        <w:rPr>
          <w:rFonts w:ascii="Times New Roman" w:hAnsi="Times New Roman"/>
          <w:sz w:val="24"/>
          <w:szCs w:val="24"/>
        </w:rPr>
        <w:t xml:space="preserve"> Navedeni izdaci su manji u odnosu na planirana sredstva.</w:t>
      </w:r>
    </w:p>
    <w:p w14:paraId="1891FD2A" w14:textId="5AA13066" w:rsidR="00E41993" w:rsidRDefault="00E41993" w:rsidP="006555D0">
      <w:pPr>
        <w:jc w:val="both"/>
        <w:rPr>
          <w:rFonts w:ascii="Times New Roman" w:hAnsi="Times New Roman"/>
          <w:sz w:val="24"/>
          <w:szCs w:val="24"/>
        </w:rPr>
      </w:pPr>
    </w:p>
    <w:p w14:paraId="33A9FB97" w14:textId="77777777" w:rsidR="00F320B8" w:rsidRPr="00EA3F06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>IMOVINA</w:t>
      </w:r>
    </w:p>
    <w:p w14:paraId="0E78E883" w14:textId="2D44F95D" w:rsidR="007A3BCB" w:rsidRDefault="00E06B15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202</w:t>
      </w:r>
      <w:r w:rsidR="00B55E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godini </w:t>
      </w:r>
      <w:r w:rsidR="00B55E2B">
        <w:rPr>
          <w:rFonts w:ascii="Times New Roman" w:hAnsi="Times New Roman"/>
          <w:sz w:val="24"/>
          <w:szCs w:val="24"/>
        </w:rPr>
        <w:t>izdaci za imovinu su 5% manji u odnosu na 2021. godinu i 10 % manji u odnosu na p</w:t>
      </w:r>
      <w:r w:rsidR="003C798D">
        <w:rPr>
          <w:rFonts w:ascii="Times New Roman" w:hAnsi="Times New Roman"/>
          <w:sz w:val="24"/>
          <w:szCs w:val="24"/>
        </w:rPr>
        <w:t>la</w:t>
      </w:r>
      <w:r w:rsidR="00B55E2B">
        <w:rPr>
          <w:rFonts w:ascii="Times New Roman" w:hAnsi="Times New Roman"/>
          <w:sz w:val="24"/>
          <w:szCs w:val="24"/>
        </w:rPr>
        <w:t>nirana sredstva. Rashodi za nabavu proizvedene dugotrajne imovine se većim dijelom odnose na postrojenja i opremu (</w:t>
      </w:r>
      <w:r w:rsidR="00063637">
        <w:rPr>
          <w:rFonts w:ascii="Times New Roman" w:hAnsi="Times New Roman"/>
          <w:sz w:val="24"/>
          <w:szCs w:val="24"/>
        </w:rPr>
        <w:t>v</w:t>
      </w:r>
      <w:r w:rsidR="00B55E2B">
        <w:rPr>
          <w:rFonts w:ascii="Times New Roman" w:hAnsi="Times New Roman"/>
          <w:sz w:val="24"/>
          <w:szCs w:val="24"/>
        </w:rPr>
        <w:t>eći su za 42% u odnosu na 2021. godinu), a manjim na nematerijalnu proizvedenu imovinu</w:t>
      </w:r>
      <w:r w:rsidR="00D35C68">
        <w:rPr>
          <w:rFonts w:ascii="Times New Roman" w:hAnsi="Times New Roman"/>
          <w:sz w:val="24"/>
          <w:szCs w:val="24"/>
        </w:rPr>
        <w:t>.</w:t>
      </w:r>
    </w:p>
    <w:p w14:paraId="68561E1B" w14:textId="5404C668" w:rsidR="00D35C68" w:rsidRDefault="00D35C68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Nabava imovine u Vrtiću je isključivo nadopuna postojećeg stanja kako bi se u potpunosti zadovoljili  pedagoški standardi.</w:t>
      </w:r>
    </w:p>
    <w:p w14:paraId="65978148" w14:textId="1540B908" w:rsidR="00D1453B" w:rsidRDefault="00D1453B" w:rsidP="006555D0">
      <w:pPr>
        <w:jc w:val="both"/>
        <w:rPr>
          <w:rFonts w:ascii="Times New Roman" w:hAnsi="Times New Roman"/>
          <w:sz w:val="24"/>
          <w:szCs w:val="24"/>
        </w:rPr>
      </w:pPr>
    </w:p>
    <w:p w14:paraId="6F0736CE" w14:textId="02CE60F2" w:rsidR="0073799F" w:rsidRDefault="0073799F" w:rsidP="006555D0">
      <w:pPr>
        <w:jc w:val="both"/>
        <w:rPr>
          <w:rFonts w:ascii="Times New Roman" w:hAnsi="Times New Roman"/>
          <w:sz w:val="24"/>
          <w:szCs w:val="24"/>
        </w:rPr>
      </w:pPr>
    </w:p>
    <w:p w14:paraId="4269CACD" w14:textId="6F95FEBA" w:rsidR="0073799F" w:rsidRDefault="0073799F" w:rsidP="006555D0">
      <w:pPr>
        <w:jc w:val="both"/>
        <w:rPr>
          <w:rFonts w:ascii="Times New Roman" w:hAnsi="Times New Roman"/>
          <w:sz w:val="24"/>
          <w:szCs w:val="24"/>
        </w:rPr>
      </w:pPr>
    </w:p>
    <w:p w14:paraId="685A17C2" w14:textId="77777777" w:rsidR="0073799F" w:rsidRPr="00EA3F06" w:rsidRDefault="0073799F" w:rsidP="006555D0">
      <w:pPr>
        <w:jc w:val="both"/>
        <w:rPr>
          <w:rFonts w:ascii="Times New Roman" w:hAnsi="Times New Roman"/>
          <w:sz w:val="24"/>
          <w:szCs w:val="24"/>
        </w:rPr>
      </w:pPr>
    </w:p>
    <w:p w14:paraId="099315AA" w14:textId="2A1678BA" w:rsidR="007A3BCB" w:rsidRDefault="005F650C" w:rsidP="00F320B8">
      <w:pPr>
        <w:rPr>
          <w:rFonts w:ascii="Times New Roman" w:hAnsi="Times New Roman"/>
          <w:sz w:val="24"/>
          <w:szCs w:val="24"/>
        </w:rPr>
      </w:pPr>
      <w:r w:rsidRPr="005F650C">
        <w:rPr>
          <w:rFonts w:ascii="Times New Roman" w:hAnsi="Times New Roman"/>
          <w:b/>
          <w:bCs/>
          <w:sz w:val="24"/>
          <w:szCs w:val="24"/>
        </w:rPr>
        <w:lastRenderedPageBreak/>
        <w:t>P</w:t>
      </w:r>
      <w:r w:rsidR="00D1453B">
        <w:rPr>
          <w:rFonts w:ascii="Times New Roman" w:hAnsi="Times New Roman"/>
          <w:b/>
          <w:bCs/>
          <w:sz w:val="24"/>
          <w:szCs w:val="24"/>
        </w:rPr>
        <w:t>RENE</w:t>
      </w:r>
      <w:r w:rsidR="00B43AF4">
        <w:rPr>
          <w:rFonts w:ascii="Times New Roman" w:hAnsi="Times New Roman"/>
          <w:b/>
          <w:bCs/>
          <w:sz w:val="24"/>
          <w:szCs w:val="24"/>
        </w:rPr>
        <w:t>S</w:t>
      </w:r>
      <w:r w:rsidR="00D1453B">
        <w:rPr>
          <w:rFonts w:ascii="Times New Roman" w:hAnsi="Times New Roman"/>
          <w:b/>
          <w:bCs/>
          <w:sz w:val="24"/>
          <w:szCs w:val="24"/>
        </w:rPr>
        <w:t xml:space="preserve">ENI MANJAK PRIHODA </w:t>
      </w:r>
      <w:r w:rsidR="00C856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3AF4" w:rsidRPr="00A142D5">
        <w:rPr>
          <w:rFonts w:ascii="Times New Roman" w:hAnsi="Times New Roman"/>
          <w:sz w:val="24"/>
          <w:szCs w:val="24"/>
        </w:rPr>
        <w:t>u</w:t>
      </w:r>
      <w:r w:rsidR="00B43A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568F" w:rsidRPr="00C8568F">
        <w:rPr>
          <w:rFonts w:ascii="Times New Roman" w:hAnsi="Times New Roman"/>
          <w:sz w:val="24"/>
          <w:szCs w:val="24"/>
        </w:rPr>
        <w:t>iznos</w:t>
      </w:r>
      <w:r w:rsidR="00B43AF4">
        <w:rPr>
          <w:rFonts w:ascii="Times New Roman" w:hAnsi="Times New Roman"/>
          <w:sz w:val="24"/>
          <w:szCs w:val="24"/>
        </w:rPr>
        <w:t>u od</w:t>
      </w:r>
      <w:r w:rsidR="00C8568F" w:rsidRPr="00C8568F">
        <w:rPr>
          <w:rFonts w:ascii="Times New Roman" w:hAnsi="Times New Roman"/>
          <w:sz w:val="24"/>
          <w:szCs w:val="24"/>
        </w:rPr>
        <w:t xml:space="preserve"> </w:t>
      </w:r>
      <w:r w:rsidR="00B43AF4">
        <w:rPr>
          <w:rFonts w:ascii="Times New Roman" w:hAnsi="Times New Roman"/>
          <w:sz w:val="24"/>
          <w:szCs w:val="24"/>
        </w:rPr>
        <w:t xml:space="preserve"> </w:t>
      </w:r>
      <w:r w:rsidR="00C8568F" w:rsidRPr="00C8568F">
        <w:rPr>
          <w:rFonts w:ascii="Times New Roman" w:hAnsi="Times New Roman"/>
          <w:sz w:val="24"/>
          <w:szCs w:val="24"/>
        </w:rPr>
        <w:t>7</w:t>
      </w:r>
      <w:r w:rsidR="00063637">
        <w:rPr>
          <w:rFonts w:ascii="Times New Roman" w:hAnsi="Times New Roman"/>
          <w:sz w:val="24"/>
          <w:szCs w:val="24"/>
        </w:rPr>
        <w:t>15</w:t>
      </w:r>
      <w:r w:rsidR="00C8568F" w:rsidRPr="00C8568F">
        <w:rPr>
          <w:rFonts w:ascii="Times New Roman" w:hAnsi="Times New Roman"/>
          <w:sz w:val="24"/>
          <w:szCs w:val="24"/>
        </w:rPr>
        <w:t>,4</w:t>
      </w:r>
      <w:r w:rsidR="00063637">
        <w:rPr>
          <w:rFonts w:ascii="Times New Roman" w:hAnsi="Times New Roman"/>
          <w:sz w:val="24"/>
          <w:szCs w:val="24"/>
        </w:rPr>
        <w:t xml:space="preserve">7 kn </w:t>
      </w:r>
      <w:r w:rsidR="00B43AF4">
        <w:rPr>
          <w:rFonts w:ascii="Times New Roman" w:hAnsi="Times New Roman"/>
          <w:sz w:val="24"/>
          <w:szCs w:val="24"/>
        </w:rPr>
        <w:t>će se pokriti iz općih prihoda, odnosno prihoda iz nadležnog proračuna za financiranje redovne djelatnosti , Osnivača-Općine Okrug</w:t>
      </w:r>
      <w:r w:rsidR="00C8568F">
        <w:rPr>
          <w:rFonts w:ascii="Times New Roman" w:hAnsi="Times New Roman"/>
          <w:sz w:val="24"/>
          <w:szCs w:val="24"/>
        </w:rPr>
        <w:t>.</w:t>
      </w:r>
      <w:r w:rsidR="00D1453B">
        <w:rPr>
          <w:rFonts w:ascii="Times New Roman" w:hAnsi="Times New Roman"/>
          <w:sz w:val="24"/>
          <w:szCs w:val="24"/>
        </w:rPr>
        <w:t xml:space="preserve"> </w:t>
      </w:r>
    </w:p>
    <w:p w14:paraId="658FC68B" w14:textId="0E77F2FB" w:rsidR="00D35C68" w:rsidRDefault="00D35C68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kraju 2022. godine  utvrđen </w:t>
      </w:r>
      <w:r w:rsidR="0073799F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višak poslovanja</w:t>
      </w:r>
      <w:r w:rsidR="00063637">
        <w:rPr>
          <w:rFonts w:ascii="Times New Roman" w:hAnsi="Times New Roman"/>
          <w:sz w:val="24"/>
          <w:szCs w:val="24"/>
        </w:rPr>
        <w:t xml:space="preserve"> u iznosu od </w:t>
      </w:r>
      <w:r w:rsidR="0073799F">
        <w:rPr>
          <w:rFonts w:ascii="Times New Roman" w:hAnsi="Times New Roman"/>
          <w:sz w:val="24"/>
          <w:szCs w:val="24"/>
        </w:rPr>
        <w:t>20.646</w:t>
      </w:r>
      <w:r w:rsidR="00063637">
        <w:rPr>
          <w:rFonts w:ascii="Times New Roman" w:hAnsi="Times New Roman"/>
          <w:sz w:val="24"/>
          <w:szCs w:val="24"/>
        </w:rPr>
        <w:t>,</w:t>
      </w:r>
      <w:r w:rsidR="0073799F">
        <w:rPr>
          <w:rFonts w:ascii="Times New Roman" w:hAnsi="Times New Roman"/>
          <w:sz w:val="24"/>
          <w:szCs w:val="24"/>
        </w:rPr>
        <w:t>42</w:t>
      </w:r>
      <w:r w:rsidR="00063637">
        <w:rPr>
          <w:rFonts w:ascii="Times New Roman" w:hAnsi="Times New Roman"/>
          <w:sz w:val="24"/>
          <w:szCs w:val="24"/>
        </w:rPr>
        <w:t xml:space="preserve"> kn koji će izmjenama financijsko</w:t>
      </w:r>
      <w:r w:rsidR="008D0A95">
        <w:rPr>
          <w:rFonts w:ascii="Times New Roman" w:hAnsi="Times New Roman"/>
          <w:sz w:val="24"/>
          <w:szCs w:val="24"/>
        </w:rPr>
        <w:t>g</w:t>
      </w:r>
      <w:r w:rsidR="00063637">
        <w:rPr>
          <w:rFonts w:ascii="Times New Roman" w:hAnsi="Times New Roman"/>
          <w:sz w:val="24"/>
          <w:szCs w:val="24"/>
        </w:rPr>
        <w:t xml:space="preserve"> plana biti raspoređen u planirana sredstva za 2023.godinu</w:t>
      </w:r>
      <w:r w:rsidR="0073799F">
        <w:rPr>
          <w:rFonts w:ascii="Times New Roman" w:hAnsi="Times New Roman"/>
          <w:sz w:val="24"/>
          <w:szCs w:val="24"/>
        </w:rPr>
        <w:t xml:space="preserve"> kao i gore navedeni manjak iz prethodne godine. </w:t>
      </w:r>
    </w:p>
    <w:p w14:paraId="20163AF8" w14:textId="7D5BEB05" w:rsidR="0073799F" w:rsidRPr="00C8568F" w:rsidRDefault="0073799F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Ukupni višak poslovanja za Vrtića za 2022</w:t>
      </w:r>
      <w:r w:rsidR="008D0A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</w:t>
      </w:r>
      <w:r w:rsidR="008D0A95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nu iznosi 19.930,95 kn.</w:t>
      </w:r>
    </w:p>
    <w:p w14:paraId="058C1E68" w14:textId="182BD494" w:rsidR="005F650C" w:rsidRPr="005F650C" w:rsidRDefault="005F650C" w:rsidP="00F320B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UKUPNE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10"/>
      </w:tblGrid>
      <w:tr w:rsidR="00A535EF" w14:paraId="3CF7F5BF" w14:textId="77777777" w:rsidTr="00E03488">
        <w:tc>
          <w:tcPr>
            <w:tcW w:w="2235" w:type="dxa"/>
          </w:tcPr>
          <w:p w14:paraId="3FBF7A0B" w14:textId="77777777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FB9DE46" w14:textId="535CCB4B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510" w:type="dxa"/>
          </w:tcPr>
          <w:p w14:paraId="0890FAF3" w14:textId="6795EED1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</w:t>
            </w:r>
            <w:r w:rsidR="00EE70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E703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A535EF" w14:paraId="2B18FFC9" w14:textId="77777777" w:rsidTr="00E03488">
        <w:tc>
          <w:tcPr>
            <w:tcW w:w="2235" w:type="dxa"/>
          </w:tcPr>
          <w:p w14:paraId="0F9B8671" w14:textId="7374E1CE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Ukupne obveze</w:t>
            </w:r>
          </w:p>
        </w:tc>
        <w:tc>
          <w:tcPr>
            <w:tcW w:w="3543" w:type="dxa"/>
          </w:tcPr>
          <w:p w14:paraId="5C815FA9" w14:textId="2E9025D0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  <w:r w:rsidR="00EE70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703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10" w:type="dxa"/>
          </w:tcPr>
          <w:p w14:paraId="6A3FC297" w14:textId="003DE5BC" w:rsidR="00A535EF" w:rsidRDefault="00EE7032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13.742,50</w:t>
            </w:r>
          </w:p>
        </w:tc>
      </w:tr>
      <w:tr w:rsidR="00A535EF" w14:paraId="4E671480" w14:textId="77777777" w:rsidTr="00E03488">
        <w:tc>
          <w:tcPr>
            <w:tcW w:w="2235" w:type="dxa"/>
          </w:tcPr>
          <w:p w14:paraId="79198F31" w14:textId="69CFD2FE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Dospjele obveze</w:t>
            </w:r>
          </w:p>
        </w:tc>
        <w:tc>
          <w:tcPr>
            <w:tcW w:w="3543" w:type="dxa"/>
          </w:tcPr>
          <w:p w14:paraId="64974E73" w14:textId="747697BC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  <w:r w:rsidR="00FE403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10" w:type="dxa"/>
          </w:tcPr>
          <w:p w14:paraId="1BA9712A" w14:textId="2485B895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E7032">
              <w:rPr>
                <w:rFonts w:ascii="Times New Roman" w:hAnsi="Times New Roman"/>
                <w:sz w:val="24"/>
                <w:szCs w:val="24"/>
              </w:rPr>
              <w:t xml:space="preserve">   200,00</w:t>
            </w:r>
          </w:p>
        </w:tc>
      </w:tr>
    </w:tbl>
    <w:p w14:paraId="6AB2C4F1" w14:textId="7449F9FF" w:rsidR="007A3BCB" w:rsidRDefault="007A3BCB" w:rsidP="00F320B8">
      <w:pPr>
        <w:rPr>
          <w:rFonts w:ascii="Times New Roman" w:hAnsi="Times New Roman"/>
          <w:sz w:val="24"/>
          <w:szCs w:val="24"/>
        </w:rPr>
      </w:pPr>
    </w:p>
    <w:p w14:paraId="55089BF4" w14:textId="4BA426F1" w:rsidR="00C8568F" w:rsidRDefault="00C8568F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 se obveze podmiruju u skladu s</w:t>
      </w:r>
      <w:r w:rsidR="00A142D5">
        <w:rPr>
          <w:rFonts w:ascii="Times New Roman" w:hAnsi="Times New Roman"/>
          <w:sz w:val="24"/>
          <w:szCs w:val="24"/>
        </w:rPr>
        <w:t xml:space="preserve"> datumom </w:t>
      </w:r>
      <w:r>
        <w:rPr>
          <w:rFonts w:ascii="Times New Roman" w:hAnsi="Times New Roman"/>
          <w:sz w:val="24"/>
          <w:szCs w:val="24"/>
        </w:rPr>
        <w:t xml:space="preserve"> dospijeć</w:t>
      </w:r>
      <w:r w:rsidR="00A142D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plaćanja. Iznos od </w:t>
      </w:r>
      <w:r w:rsidR="00EE7032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,</w:t>
      </w:r>
      <w:r w:rsidR="00EE7032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r w:rsidR="00063637">
        <w:rPr>
          <w:rFonts w:ascii="Times New Roman" w:hAnsi="Times New Roman"/>
          <w:sz w:val="24"/>
          <w:szCs w:val="24"/>
        </w:rPr>
        <w:t>kn</w:t>
      </w:r>
      <w:r>
        <w:rPr>
          <w:rFonts w:ascii="Times New Roman" w:hAnsi="Times New Roman"/>
          <w:sz w:val="24"/>
          <w:szCs w:val="24"/>
        </w:rPr>
        <w:t xml:space="preserve"> </w:t>
      </w:r>
      <w:r w:rsidR="00A14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dospjelih obveza je plaćanje usluge</w:t>
      </w:r>
      <w:r w:rsidR="00EE7032">
        <w:rPr>
          <w:rFonts w:ascii="Times New Roman" w:hAnsi="Times New Roman"/>
          <w:sz w:val="24"/>
          <w:szCs w:val="24"/>
        </w:rPr>
        <w:t xml:space="preserve"> </w:t>
      </w:r>
      <w:r w:rsidR="003C798D">
        <w:rPr>
          <w:rFonts w:ascii="Times New Roman" w:hAnsi="Times New Roman"/>
          <w:sz w:val="24"/>
          <w:szCs w:val="24"/>
        </w:rPr>
        <w:t>N</w:t>
      </w:r>
      <w:r w:rsidR="00EE7032">
        <w:rPr>
          <w:rFonts w:ascii="Times New Roman" w:hAnsi="Times New Roman"/>
          <w:sz w:val="24"/>
          <w:szCs w:val="24"/>
        </w:rPr>
        <w:t>astavnom zavodu za javno zdravstvo, Split. Račun je zaprimljen u siječnju 2023. godine s rokom dospijeća  30.12.2022.</w:t>
      </w:r>
    </w:p>
    <w:p w14:paraId="709C75DE" w14:textId="77777777" w:rsidR="00D1453B" w:rsidRPr="00EA3F06" w:rsidRDefault="00D1453B" w:rsidP="00F320B8">
      <w:pPr>
        <w:rPr>
          <w:rFonts w:ascii="Times New Roman" w:hAnsi="Times New Roman"/>
          <w:sz w:val="24"/>
          <w:szCs w:val="24"/>
        </w:rPr>
      </w:pPr>
    </w:p>
    <w:p w14:paraId="3F237B8B" w14:textId="4079FBF9" w:rsidR="00397983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 xml:space="preserve">OPĆI CILJ VRTIĆA </w:t>
      </w:r>
    </w:p>
    <w:p w14:paraId="22C4655D" w14:textId="348BEDCD" w:rsidR="00602A9E" w:rsidRPr="000142D8" w:rsidRDefault="00602A9E" w:rsidP="00F320B8">
      <w:pPr>
        <w:rPr>
          <w:rFonts w:ascii="Times New Roman" w:hAnsi="Times New Roman"/>
          <w:bCs/>
          <w:sz w:val="24"/>
          <w:szCs w:val="24"/>
        </w:rPr>
      </w:pPr>
      <w:r w:rsidRPr="000142D8">
        <w:rPr>
          <w:rFonts w:ascii="Times New Roman" w:hAnsi="Times New Roman"/>
          <w:bCs/>
          <w:sz w:val="24"/>
          <w:szCs w:val="24"/>
        </w:rPr>
        <w:t>Prihodi i izdaci koje je vrtić ostvario u 2022. godini  u nesigurnim i promjenjivim uvjetima na tržištu robe, usluga i energije su na optimalan način zadovoljili potrebe djece i djelatnika Dječjeg vrtića „KADUJICA“</w:t>
      </w:r>
    </w:p>
    <w:p w14:paraId="16BFAEE4" w14:textId="772E931C" w:rsidR="000142D8" w:rsidRDefault="00602A9E" w:rsidP="000142D8">
      <w:pPr>
        <w:jc w:val="both"/>
        <w:rPr>
          <w:rFonts w:ascii="Times New Roman" w:hAnsi="Times New Roman"/>
          <w:sz w:val="24"/>
          <w:szCs w:val="24"/>
        </w:rPr>
      </w:pPr>
      <w:r w:rsidRPr="000142D8">
        <w:rPr>
          <w:rFonts w:ascii="Times New Roman" w:hAnsi="Times New Roman"/>
          <w:bCs/>
          <w:sz w:val="24"/>
          <w:szCs w:val="24"/>
        </w:rPr>
        <w:t>Cilj je u Vrtiću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142D8" w:rsidRPr="00EA3F06">
        <w:rPr>
          <w:rFonts w:ascii="Times New Roman" w:hAnsi="Times New Roman"/>
          <w:sz w:val="24"/>
          <w:szCs w:val="24"/>
        </w:rPr>
        <w:t xml:space="preserve">osigurati optimalne odgojne i obrazovne uvjete </w:t>
      </w:r>
      <w:r w:rsidR="000142D8">
        <w:rPr>
          <w:rFonts w:ascii="Times New Roman" w:hAnsi="Times New Roman"/>
          <w:sz w:val="24"/>
          <w:szCs w:val="24"/>
        </w:rPr>
        <w:t xml:space="preserve">boravka </w:t>
      </w:r>
      <w:r w:rsidR="000142D8" w:rsidRPr="00EA3F06">
        <w:rPr>
          <w:rFonts w:ascii="Times New Roman" w:hAnsi="Times New Roman"/>
          <w:sz w:val="24"/>
          <w:szCs w:val="24"/>
        </w:rPr>
        <w:t xml:space="preserve">djece </w:t>
      </w:r>
      <w:r w:rsidR="000142D8">
        <w:rPr>
          <w:rFonts w:ascii="Times New Roman" w:hAnsi="Times New Roman"/>
          <w:sz w:val="24"/>
          <w:szCs w:val="24"/>
        </w:rPr>
        <w:t xml:space="preserve"> s okruženjem</w:t>
      </w:r>
      <w:r w:rsidR="000142D8" w:rsidRPr="00EA3F06">
        <w:rPr>
          <w:rFonts w:ascii="Times New Roman" w:hAnsi="Times New Roman"/>
          <w:sz w:val="24"/>
          <w:szCs w:val="24"/>
        </w:rPr>
        <w:t xml:space="preserve"> koje će djetetu omogućiti stjecanje različitih iskustava i </w:t>
      </w:r>
      <w:r w:rsidR="000142D8">
        <w:rPr>
          <w:rFonts w:ascii="Times New Roman" w:hAnsi="Times New Roman"/>
          <w:sz w:val="24"/>
          <w:szCs w:val="24"/>
        </w:rPr>
        <w:t>znanja te postizanje većeg standarda cjelokupne usluge Vrtića.</w:t>
      </w:r>
    </w:p>
    <w:p w14:paraId="030010AA" w14:textId="0FF2CE95" w:rsidR="000142D8" w:rsidRPr="004A0EF5" w:rsidRDefault="000142D8" w:rsidP="000142D8">
      <w:pPr>
        <w:jc w:val="both"/>
        <w:rPr>
          <w:rFonts w:ascii="Times New Roman" w:hAnsi="Times New Roman"/>
          <w:sz w:val="24"/>
          <w:szCs w:val="24"/>
        </w:rPr>
      </w:pPr>
      <w:r w:rsidRPr="004A0EF5">
        <w:rPr>
          <w:rFonts w:ascii="Times New Roman" w:hAnsi="Times New Roman"/>
          <w:sz w:val="24"/>
          <w:szCs w:val="24"/>
        </w:rPr>
        <w:t xml:space="preserve">Vizija Vrtića i svih zaposlenika  je </w:t>
      </w:r>
      <w:r>
        <w:rPr>
          <w:rFonts w:ascii="Times New Roman" w:hAnsi="Times New Roman"/>
          <w:sz w:val="24"/>
          <w:szCs w:val="24"/>
        </w:rPr>
        <w:t>da D</w:t>
      </w:r>
      <w:r w:rsidRPr="004A0EF5">
        <w:rPr>
          <w:rFonts w:ascii="Times New Roman" w:hAnsi="Times New Roman"/>
          <w:sz w:val="24"/>
          <w:szCs w:val="24"/>
        </w:rPr>
        <w:t>ječji vrtić „KADUJICA“  bude mjesto zadovoljnog, veselog i kreativnog djeteta</w:t>
      </w:r>
      <w:r>
        <w:rPr>
          <w:rFonts w:ascii="Times New Roman" w:hAnsi="Times New Roman"/>
          <w:sz w:val="24"/>
          <w:szCs w:val="24"/>
        </w:rPr>
        <w:t xml:space="preserve"> i zadovoljnog roditelja.</w:t>
      </w:r>
    </w:p>
    <w:p w14:paraId="3CA36773" w14:textId="77777777" w:rsidR="000142D8" w:rsidRDefault="000142D8" w:rsidP="000142D8">
      <w:pPr>
        <w:jc w:val="both"/>
        <w:rPr>
          <w:rFonts w:ascii="Times New Roman" w:hAnsi="Times New Roman"/>
          <w:sz w:val="24"/>
          <w:szCs w:val="24"/>
        </w:rPr>
      </w:pPr>
    </w:p>
    <w:p w14:paraId="2D974048" w14:textId="77777777" w:rsidR="000142D8" w:rsidRDefault="000142D8" w:rsidP="000142D8">
      <w:pPr>
        <w:jc w:val="both"/>
        <w:rPr>
          <w:rFonts w:ascii="Times New Roman" w:hAnsi="Times New Roman"/>
          <w:sz w:val="24"/>
          <w:szCs w:val="24"/>
        </w:rPr>
      </w:pPr>
    </w:p>
    <w:p w14:paraId="486DC67A" w14:textId="52A524A3" w:rsidR="00602A9E" w:rsidRPr="00EA3F06" w:rsidRDefault="00602A9E" w:rsidP="00F320B8">
      <w:pPr>
        <w:rPr>
          <w:rFonts w:ascii="Times New Roman" w:hAnsi="Times New Roman"/>
          <w:b/>
          <w:sz w:val="24"/>
          <w:szCs w:val="24"/>
        </w:rPr>
      </w:pPr>
    </w:p>
    <w:p w14:paraId="6CEA9D02" w14:textId="77777777" w:rsidR="000864F2" w:rsidRPr="00EA3F06" w:rsidRDefault="000864F2" w:rsidP="00F320B8">
      <w:pPr>
        <w:rPr>
          <w:rFonts w:ascii="Times New Roman" w:hAnsi="Times New Roman"/>
          <w:sz w:val="24"/>
          <w:szCs w:val="24"/>
        </w:rPr>
      </w:pPr>
    </w:p>
    <w:sectPr w:rsidR="000864F2" w:rsidRPr="00EA3F06" w:rsidSect="0089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AE7"/>
    <w:multiLevelType w:val="hybridMultilevel"/>
    <w:tmpl w:val="6CA45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A44A9"/>
    <w:multiLevelType w:val="hybridMultilevel"/>
    <w:tmpl w:val="9EE0944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17223C"/>
    <w:multiLevelType w:val="hybridMultilevel"/>
    <w:tmpl w:val="33384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4F1B"/>
    <w:multiLevelType w:val="hybridMultilevel"/>
    <w:tmpl w:val="BB005EDA"/>
    <w:lvl w:ilvl="0" w:tplc="183E68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876E6"/>
    <w:multiLevelType w:val="hybridMultilevel"/>
    <w:tmpl w:val="44E678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74936">
    <w:abstractNumId w:val="1"/>
  </w:num>
  <w:num w:numId="2" w16cid:durableId="1668510533">
    <w:abstractNumId w:val="4"/>
  </w:num>
  <w:num w:numId="3" w16cid:durableId="1345354885">
    <w:abstractNumId w:val="0"/>
  </w:num>
  <w:num w:numId="4" w16cid:durableId="1641619492">
    <w:abstractNumId w:val="2"/>
  </w:num>
  <w:num w:numId="5" w16cid:durableId="147129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F2"/>
    <w:rsid w:val="000142D8"/>
    <w:rsid w:val="0002264E"/>
    <w:rsid w:val="00045DE0"/>
    <w:rsid w:val="0004792C"/>
    <w:rsid w:val="00055968"/>
    <w:rsid w:val="00063637"/>
    <w:rsid w:val="000864F2"/>
    <w:rsid w:val="000C5DC3"/>
    <w:rsid w:val="000D508D"/>
    <w:rsid w:val="00106852"/>
    <w:rsid w:val="0015393C"/>
    <w:rsid w:val="0018078B"/>
    <w:rsid w:val="001A6A0D"/>
    <w:rsid w:val="001B7BA5"/>
    <w:rsid w:val="001E37A0"/>
    <w:rsid w:val="001F7BD7"/>
    <w:rsid w:val="00217B3F"/>
    <w:rsid w:val="0024195C"/>
    <w:rsid w:val="002C4FDF"/>
    <w:rsid w:val="002E6F0D"/>
    <w:rsid w:val="00306F1F"/>
    <w:rsid w:val="00315BB0"/>
    <w:rsid w:val="00345609"/>
    <w:rsid w:val="0038108D"/>
    <w:rsid w:val="00397983"/>
    <w:rsid w:val="003A711A"/>
    <w:rsid w:val="003B420A"/>
    <w:rsid w:val="003C798D"/>
    <w:rsid w:val="003D134C"/>
    <w:rsid w:val="004444AB"/>
    <w:rsid w:val="00452444"/>
    <w:rsid w:val="00462F83"/>
    <w:rsid w:val="00494F9D"/>
    <w:rsid w:val="004A0EF5"/>
    <w:rsid w:val="004A4367"/>
    <w:rsid w:val="005212D5"/>
    <w:rsid w:val="00564DDB"/>
    <w:rsid w:val="0059307B"/>
    <w:rsid w:val="005971C0"/>
    <w:rsid w:val="005A19B8"/>
    <w:rsid w:val="005A755C"/>
    <w:rsid w:val="005B21D4"/>
    <w:rsid w:val="005D74C2"/>
    <w:rsid w:val="005E6377"/>
    <w:rsid w:val="005F4AB9"/>
    <w:rsid w:val="005F650C"/>
    <w:rsid w:val="00602A9E"/>
    <w:rsid w:val="00605275"/>
    <w:rsid w:val="006247BD"/>
    <w:rsid w:val="006555D0"/>
    <w:rsid w:val="006C0CA2"/>
    <w:rsid w:val="006C7802"/>
    <w:rsid w:val="006F27FE"/>
    <w:rsid w:val="006F2DC5"/>
    <w:rsid w:val="006F6CB5"/>
    <w:rsid w:val="00700283"/>
    <w:rsid w:val="0073799F"/>
    <w:rsid w:val="007666D0"/>
    <w:rsid w:val="007A3BCB"/>
    <w:rsid w:val="007B09DB"/>
    <w:rsid w:val="008161F8"/>
    <w:rsid w:val="0085337F"/>
    <w:rsid w:val="00876BF0"/>
    <w:rsid w:val="00896062"/>
    <w:rsid w:val="008B0430"/>
    <w:rsid w:val="008D0A95"/>
    <w:rsid w:val="009205F9"/>
    <w:rsid w:val="00934D8E"/>
    <w:rsid w:val="0093567B"/>
    <w:rsid w:val="0095402D"/>
    <w:rsid w:val="009669C4"/>
    <w:rsid w:val="009914B7"/>
    <w:rsid w:val="00997597"/>
    <w:rsid w:val="009B10A7"/>
    <w:rsid w:val="009B77F1"/>
    <w:rsid w:val="009C41D8"/>
    <w:rsid w:val="009D762E"/>
    <w:rsid w:val="00A142D5"/>
    <w:rsid w:val="00A1742E"/>
    <w:rsid w:val="00A2279B"/>
    <w:rsid w:val="00A2542C"/>
    <w:rsid w:val="00A31BD2"/>
    <w:rsid w:val="00A428AA"/>
    <w:rsid w:val="00A535EF"/>
    <w:rsid w:val="00A551CF"/>
    <w:rsid w:val="00A66E5F"/>
    <w:rsid w:val="00A87435"/>
    <w:rsid w:val="00AA39EE"/>
    <w:rsid w:val="00AB121E"/>
    <w:rsid w:val="00AD2275"/>
    <w:rsid w:val="00AD5CA0"/>
    <w:rsid w:val="00B3382C"/>
    <w:rsid w:val="00B43248"/>
    <w:rsid w:val="00B43AF4"/>
    <w:rsid w:val="00B55E2B"/>
    <w:rsid w:val="00BA4F9F"/>
    <w:rsid w:val="00BF7554"/>
    <w:rsid w:val="00C472CE"/>
    <w:rsid w:val="00C55442"/>
    <w:rsid w:val="00C839D8"/>
    <w:rsid w:val="00C8568F"/>
    <w:rsid w:val="00CA2465"/>
    <w:rsid w:val="00CB0197"/>
    <w:rsid w:val="00CB7092"/>
    <w:rsid w:val="00CC7736"/>
    <w:rsid w:val="00CD0570"/>
    <w:rsid w:val="00CE7231"/>
    <w:rsid w:val="00D1453B"/>
    <w:rsid w:val="00D14963"/>
    <w:rsid w:val="00D162F0"/>
    <w:rsid w:val="00D1710B"/>
    <w:rsid w:val="00D35C68"/>
    <w:rsid w:val="00D572AD"/>
    <w:rsid w:val="00D83BE7"/>
    <w:rsid w:val="00D97A74"/>
    <w:rsid w:val="00DE5D97"/>
    <w:rsid w:val="00E03488"/>
    <w:rsid w:val="00E06B15"/>
    <w:rsid w:val="00E120E6"/>
    <w:rsid w:val="00E159E8"/>
    <w:rsid w:val="00E405B0"/>
    <w:rsid w:val="00E41993"/>
    <w:rsid w:val="00E84AA3"/>
    <w:rsid w:val="00EA3F06"/>
    <w:rsid w:val="00ED5CF9"/>
    <w:rsid w:val="00EE7032"/>
    <w:rsid w:val="00F22696"/>
    <w:rsid w:val="00F320B8"/>
    <w:rsid w:val="00F36AAB"/>
    <w:rsid w:val="00F55FF6"/>
    <w:rsid w:val="00F56CFD"/>
    <w:rsid w:val="00F63E60"/>
    <w:rsid w:val="00F9145B"/>
    <w:rsid w:val="00FC2899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676C"/>
  <w15:docId w15:val="{B0AF111B-C98F-48DE-872E-E6A8299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864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3248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table" w:styleId="Reetkatablice">
    <w:name w:val="Table Grid"/>
    <w:basedOn w:val="Obinatablica"/>
    <w:uiPriority w:val="59"/>
    <w:rsid w:val="00A5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Vrtic01</dc:creator>
  <cp:lastModifiedBy>Josipa Kuzmanić</cp:lastModifiedBy>
  <cp:revision>50</cp:revision>
  <cp:lastPrinted>2021-10-04T07:30:00Z</cp:lastPrinted>
  <dcterms:created xsi:type="dcterms:W3CDTF">2021-10-04T05:53:00Z</dcterms:created>
  <dcterms:modified xsi:type="dcterms:W3CDTF">2023-03-28T10:51:00Z</dcterms:modified>
</cp:coreProperties>
</file>